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F0A020" w:sz="24" w:space="1"/>
        </w:pBdr>
        <w:spacing w:after="0" w:before="0"/>
      </w:pPr>
      <w:r>
        <w:t xml:space="preserve"/>
      </w:r>
    </w:p>
    <w:p>
      <w:pPr>
        <w:spacing w:after="0" w:before="3000"/>
      </w:pPr>
    </w:p>
    <w:p>
      <w:pPr>
        <w:spacing w:after="200" w:before="0"/>
        <w:jc w:val="center"/>
      </w:pPr>
      <w:r>
        <w:rPr>
          <w:b/>
          <w:bCs/>
          <w:color w:val="1A1F2E"/>
          <w:sz w:val="56"/>
          <w:szCs w:val="56"/>
        </w:rPr>
        <w:t xml:space="preserve">Notice de Sécurité Détaillée — Atelier Portes Ngoundiane</w:t>
      </w:r>
    </w:p>
    <w:p>
      <w:pPr>
        <w:pBdr>
          <w:bottom w:val="single" w:color="F0A020" w:sz="8" w:space="4"/>
        </w:pBdr>
        <w:spacing w:after="1400" w:before="0"/>
        <w:jc w:val="center"/>
      </w:pPr>
      <w:r>
        <w:t xml:space="preserve"/>
      </w:r>
    </w:p>
    <w:tbl>
      <w:tblPr>
        <w:tblW w:type="pct" w:w="80%"/>
        <w:jc w:val="center"/>
        <w:tblBorders>
          <w:top w:val="single" w:color="E5E1D8" w:sz="4"/>
          <w:left w:val="none" w:color="FFFFFF" w:sz="0"/>
          <w:bottom w:val="single" w:color="E5E1D8" w:sz="4"/>
          <w:right w:val="none" w:color="FFFFFF" w:sz="0"/>
          <w:insideH w:val="single" w:color="E5E1D8" w:sz="4"/>
          <w:insideV w:val="none" w:color="FFFFFF" w:sz="0"/>
        </w:tblBorders>
      </w:tblPr>
      <w:tblGrid>
        <w:gridCol w:w="100"/>
        <w:gridCol w:w="100"/>
      </w:tblGrid>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RÉFÉRENCE DOCUMENT</w:t>
            </w:r>
          </w:p>
        </w:tc>
        <w:tc>
          <w:tcPr>
            <w:tcW w:type="pct" w:w="62%"/>
            <w:tcMar>
              <w:top w:type="dxa" w:w="140"/>
              <w:left w:type="dxa" w:w="180"/>
              <w:bottom w:type="dxa" w:w="140"/>
              <w:right w:type="dxa" w:w="140"/>
            </w:tcMar>
          </w:tcPr>
          <w:p>
            <w:pPr>
              <w:spacing w:after="0" w:before="0"/>
            </w:pPr>
            <w:r>
              <w:rPr>
                <w:color w:val="1A1F2E"/>
                <w:sz w:val="22"/>
                <w:szCs w:val="22"/>
              </w:rPr>
              <w:t xml:space="preserve">NOTICE-SECURITE-DETAILLEE-ATELIER-20260817-A</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DATE D'ÉTABLISSEMENT</w:t>
            </w:r>
          </w:p>
        </w:tc>
        <w:tc>
          <w:tcPr>
            <w:tcW w:type="pct" w:w="62%"/>
            <w:tcMar>
              <w:top w:type="dxa" w:w="140"/>
              <w:left w:type="dxa" w:w="180"/>
              <w:bottom w:type="dxa" w:w="140"/>
              <w:right w:type="dxa" w:w="140"/>
            </w:tcMar>
          </w:tcPr>
          <w:p>
            <w:pPr>
              <w:spacing w:after="0" w:before="0"/>
            </w:pPr>
            <w:r>
              <w:rPr>
                <w:color w:val="1A1F2E"/>
                <w:sz w:val="22"/>
                <w:szCs w:val="22"/>
              </w:rPr>
              <w:t xml:space="preserve">17 août 2026</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INDICE DE RÉVISION</w:t>
            </w:r>
          </w:p>
        </w:tc>
        <w:tc>
          <w:tcPr>
            <w:tcW w:type="pct" w:w="62%"/>
            <w:tcMar>
              <w:top w:type="dxa" w:w="140"/>
              <w:left w:type="dxa" w:w="180"/>
              <w:bottom w:type="dxa" w:w="140"/>
              <w:right w:type="dxa" w:w="140"/>
            </w:tcMar>
          </w:tcPr>
          <w:p>
            <w:pPr>
              <w:spacing w:after="0" w:before="0"/>
            </w:pPr>
            <w:r>
              <w:rPr>
                <w:color w:val="1A1F2E"/>
                <w:sz w:val="22"/>
                <w:szCs w:val="22"/>
              </w:rPr>
              <w:t xml:space="preserve">A</w:t>
            </w:r>
          </w:p>
        </w:tc>
      </w:tr>
    </w:tbl>
    <w:p>
      <w:r>
        <w:br w:type="page"/>
      </w:r>
    </w:p>
    <w:p>
      <w:pPr>
        <w:spacing w:after="60" w:before="0"/>
      </w:pPr>
      <w:r>
        <w:rPr>
          <w:b/>
          <w:bCs/>
          <w:color w:val="6B7280"/>
          <w:spacing w:val="60"/>
          <w:sz w:val="16"/>
          <w:szCs w:val="16"/>
        </w:rPr>
        <w:t xml:space="preserve">TABLE DES MATIÈRES</w:t>
      </w:r>
    </w:p>
    <w:p>
      <w:pPr>
        <w:pBdr>
          <w:bottom w:val="single" w:color="1A1F2E" w:sz="18" w:space="6"/>
        </w:pBdr>
        <w:spacing w:after="360" w:before="0"/>
      </w:pPr>
      <w:r>
        <w:rPr>
          <w:b/>
          <w:bCs/>
          <w:color w:val="1A1F2E"/>
          <w:sz w:val="52"/>
          <w:szCs w:val="52"/>
        </w:rPr>
        <w:t xml:space="preserve">Sommaire</w:t>
      </w:r>
    </w:p>
    <w:p>
      <w:pPr>
        <w:spacing w:after="40" w:before="40"/>
        <w:ind w:left="360" w:hanging="0"/>
      </w:pPr>
      <w:hyperlink w:history="1" w:anchor="nexia_h_2">
        <w:r>
          <w:rPr>
            <w:b/>
            <w:bCs/>
            <w:color w:val="2C3344"/>
            <w:sz w:val="22"/>
            <w:szCs w:val="22"/>
          </w:rPr>
          <w:t xml:space="preserve">1.1.  </w:t>
        </w:r>
        <w:r>
          <w:rPr>
            <w:b w:val="false"/>
            <w:bCs w:val="false"/>
            <w:color w:val="2C3344"/>
            <w:sz w:val="22"/>
            <w:szCs w:val="22"/>
          </w:rPr>
          <w:t xml:space="preserve">Notice de Sécurité Détaillée — Avec Schémas et Plans</w:t>
        </w:r>
      </w:hyperlink>
    </w:p>
    <w:p>
      <w:pPr>
        <w:spacing w:after="40" w:before="40"/>
        <w:ind w:left="720" w:hanging="0"/>
      </w:pPr>
      <w:hyperlink w:history="1" w:anchor="nexia_h_3">
        <w:r>
          <w:rPr>
            <w:b/>
            <w:bCs/>
            <w:color w:val="6B7280"/>
            <w:sz w:val="20"/>
            <w:szCs w:val="20"/>
          </w:rPr>
          <w:t xml:space="preserve">1.1.1.  </w:t>
        </w:r>
        <w:r>
          <w:rPr>
            <w:b w:val="false"/>
            <w:bCs w:val="false"/>
            <w:color w:val="6B7280"/>
            <w:sz w:val="20"/>
            <w:szCs w:val="20"/>
          </w:rPr>
          <w:t xml:space="preserve">Atelier de Fabrication de Portes Haut de Gamme — Ngoundiane, Thiès, Sénégal</w:t>
        </w:r>
      </w:hyperlink>
    </w:p>
    <w:p>
      <w:pPr>
        <w:spacing w:after="40" w:before="40"/>
        <w:ind w:left="360" w:hanging="0"/>
      </w:pPr>
      <w:hyperlink w:history="1" w:anchor="nexia_h_9">
        <w:r>
          <w:rPr>
            <w:b/>
            <w:bCs/>
            <w:color w:val="2C3344"/>
            <w:sz w:val="22"/>
            <w:szCs w:val="22"/>
          </w:rPr>
          <w:t xml:space="preserve">1.2.  </w:t>
        </w:r>
        <w:r>
          <w:rPr>
            <w:b w:val="false"/>
            <w:bCs w:val="false"/>
            <w:color w:val="2C3344"/>
            <w:sz w:val="22"/>
            <w:szCs w:val="22"/>
          </w:rPr>
          <w:t xml:space="preserve">Cadre Normatif et Réglementaire</w:t>
        </w:r>
      </w:hyperlink>
    </w:p>
    <w:p>
      <w:pPr>
        <w:spacing w:after="40" w:before="40"/>
        <w:ind w:left="720" w:hanging="0"/>
      </w:pPr>
      <w:hyperlink w:history="1" w:anchor="nexia_h_11">
        <w:r>
          <w:rPr>
            <w:b/>
            <w:bCs/>
            <w:color w:val="6B7280"/>
            <w:sz w:val="20"/>
            <w:szCs w:val="20"/>
          </w:rPr>
          <w:t xml:space="preserve">1.2.1.  </w:t>
        </w:r>
        <w:r>
          <w:rPr>
            <w:b w:val="false"/>
            <w:bCs w:val="false"/>
            <w:color w:val="6B7280"/>
            <w:sz w:val="20"/>
            <w:szCs w:val="20"/>
          </w:rPr>
          <w:t xml:space="preserve">Textes sénégalais applicables</w:t>
        </w:r>
      </w:hyperlink>
    </w:p>
    <w:p>
      <w:pPr>
        <w:spacing w:after="40" w:before="40"/>
        <w:ind w:left="720" w:hanging="0"/>
      </w:pPr>
      <w:hyperlink w:history="1" w:anchor="nexia_h_15">
        <w:r>
          <w:rPr>
            <w:b/>
            <w:bCs/>
            <w:color w:val="6B7280"/>
            <w:sz w:val="20"/>
            <w:szCs w:val="20"/>
          </w:rPr>
          <w:t xml:space="preserve">1.2.2.  </w:t>
        </w:r>
        <w:r>
          <w:rPr>
            <w:b w:val="false"/>
            <w:bCs w:val="false"/>
            <w:color w:val="6B7280"/>
            <w:sz w:val="20"/>
            <w:szCs w:val="20"/>
          </w:rPr>
          <w:t xml:space="preserve">Normes techniques de référence</w:t>
        </w:r>
      </w:hyperlink>
    </w:p>
    <w:p>
      <w:pPr>
        <w:spacing w:after="40" w:before="40"/>
        <w:ind w:left="720" w:hanging="0"/>
      </w:pPr>
      <w:hyperlink w:history="1" w:anchor="nexia_h_21">
        <w:r>
          <w:rPr>
            <w:b/>
            <w:bCs/>
            <w:color w:val="6B7280"/>
            <w:sz w:val="20"/>
            <w:szCs w:val="20"/>
          </w:rPr>
          <w:t xml:space="preserve">1.2.3.  </w:t>
        </w:r>
        <w:r>
          <w:rPr>
            <w:b w:val="false"/>
            <w:bCs w:val="false"/>
            <w:color w:val="6B7280"/>
            <w:sz w:val="20"/>
            <w:szCs w:val="20"/>
          </w:rPr>
          <w:t xml:space="preserve">Classification de l'établissement</w:t>
        </w:r>
      </w:hyperlink>
    </w:p>
    <w:p>
      <w:pPr>
        <w:spacing w:after="40" w:before="40"/>
        <w:ind w:left="360" w:hanging="0"/>
      </w:pPr>
      <w:hyperlink w:history="1" w:anchor="nexia_h_27">
        <w:r>
          <w:rPr>
            <w:b/>
            <w:bCs/>
            <w:color w:val="2C3344"/>
            <w:sz w:val="22"/>
            <w:szCs w:val="22"/>
          </w:rPr>
          <w:t xml:space="preserve">1.3.  </w:t>
        </w:r>
        <w:r>
          <w:rPr>
            <w:b w:val="false"/>
            <w:bCs w:val="false"/>
            <w:color w:val="2C3344"/>
            <w:sz w:val="22"/>
            <w:szCs w:val="22"/>
          </w:rPr>
          <w:t xml:space="preserve">Description de l'Établissement et Analyse des Risques</w:t>
        </w:r>
      </w:hyperlink>
    </w:p>
    <w:p>
      <w:pPr>
        <w:spacing w:after="40" w:before="40"/>
        <w:ind w:left="720" w:hanging="0"/>
      </w:pPr>
      <w:hyperlink w:history="1" w:anchor="nexia_h_29">
        <w:r>
          <w:rPr>
            <w:b/>
            <w:bCs/>
            <w:color w:val="6B7280"/>
            <w:sz w:val="20"/>
            <w:szCs w:val="20"/>
          </w:rPr>
          <w:t xml:space="preserve">1.3.1.  </w:t>
        </w:r>
        <w:r>
          <w:rPr>
            <w:b w:val="false"/>
            <w:bCs w:val="false"/>
            <w:color w:val="6B7280"/>
            <w:sz w:val="20"/>
            <w:szCs w:val="20"/>
          </w:rPr>
          <w:t xml:space="preserve">Description générale du site</w:t>
        </w:r>
      </w:hyperlink>
    </w:p>
    <w:p>
      <w:pPr>
        <w:spacing w:after="40" w:before="40"/>
        <w:ind w:left="720" w:hanging="0"/>
      </w:pPr>
      <w:hyperlink w:history="1" w:anchor="nexia_h_33">
        <w:r>
          <w:rPr>
            <w:b/>
            <w:bCs/>
            <w:color w:val="6B7280"/>
            <w:sz w:val="20"/>
            <w:szCs w:val="20"/>
          </w:rPr>
          <w:t xml:space="preserve">1.3.2.  </w:t>
        </w:r>
        <w:r>
          <w:rPr>
            <w:b w:val="false"/>
            <w:bCs w:val="false"/>
            <w:color w:val="6B7280"/>
            <w:sz w:val="20"/>
            <w:szCs w:val="20"/>
          </w:rPr>
          <w:t xml:space="preserve">Identification des Risques</w:t>
        </w:r>
      </w:hyperlink>
    </w:p>
    <w:p>
      <w:pPr>
        <w:spacing w:after="40" w:before="40"/>
        <w:ind w:left="720" w:hanging="0"/>
      </w:pPr>
      <w:hyperlink w:history="1" w:anchor="nexia_h_39">
        <w:r>
          <w:rPr>
            <w:b/>
            <w:bCs/>
            <w:color w:val="6B7280"/>
            <w:sz w:val="20"/>
            <w:szCs w:val="20"/>
          </w:rPr>
          <w:t xml:space="preserve">1.3.3.  </w:t>
        </w:r>
        <w:r>
          <w:rPr>
            <w:b w:val="false"/>
            <w:bCs w:val="false"/>
            <w:color w:val="6B7280"/>
            <w:sz w:val="20"/>
            <w:szCs w:val="20"/>
          </w:rPr>
          <w:t xml:space="preserve">SCHÉMA 1 — MATRICE DE CRITICITÉ DES RISQUES</w:t>
        </w:r>
      </w:hyperlink>
    </w:p>
    <w:p>
      <w:pPr>
        <w:spacing w:after="40" w:before="40"/>
        <w:ind w:left="360" w:hanging="0"/>
      </w:pPr>
      <w:hyperlink w:history="1" w:anchor="nexia_h_49">
        <w:r>
          <w:rPr>
            <w:b/>
            <w:bCs/>
            <w:color w:val="2C3344"/>
            <w:sz w:val="22"/>
            <w:szCs w:val="22"/>
          </w:rPr>
          <w:t xml:space="preserve">1.4.  </w:t>
        </w:r>
        <w:r>
          <w:rPr>
            <w:b w:val="false"/>
            <w:bCs w:val="false"/>
            <w:color w:val="2C3344"/>
            <w:sz w:val="22"/>
            <w:szCs w:val="22"/>
          </w:rPr>
          <w:t xml:space="preserve">Prévention des Incendies</w:t>
        </w:r>
      </w:hyperlink>
    </w:p>
    <w:p>
      <w:pPr>
        <w:spacing w:after="40" w:before="40"/>
        <w:ind w:left="720" w:hanging="0"/>
      </w:pPr>
      <w:hyperlink w:history="1" w:anchor="nexia_h_51">
        <w:r>
          <w:rPr>
            <w:b/>
            <w:bCs/>
            <w:color w:val="6B7280"/>
            <w:sz w:val="20"/>
            <w:szCs w:val="20"/>
          </w:rPr>
          <w:t xml:space="preserve">1.4.1.  </w:t>
        </w:r>
        <w:r>
          <w:rPr>
            <w:b w:val="false"/>
            <w:bCs w:val="false"/>
            <w:color w:val="6B7280"/>
            <w:sz w:val="20"/>
            <w:szCs w:val="20"/>
          </w:rPr>
          <w:t xml:space="preserve">Résistance au feu des éléments de construction</w:t>
        </w:r>
      </w:hyperlink>
    </w:p>
    <w:p>
      <w:pPr>
        <w:spacing w:after="40" w:before="40"/>
        <w:ind w:left="720" w:hanging="0"/>
      </w:pPr>
      <w:hyperlink w:history="1" w:anchor="nexia_h_55">
        <w:r>
          <w:rPr>
            <w:b/>
            <w:bCs/>
            <w:color w:val="6B7280"/>
            <w:sz w:val="20"/>
            <w:szCs w:val="20"/>
          </w:rPr>
          <w:t xml:space="preserve">1.4.2.  </w:t>
        </w:r>
        <w:r>
          <w:rPr>
            <w:b w:val="false"/>
            <w:bCs w:val="false"/>
            <w:color w:val="6B7280"/>
            <w:sz w:val="20"/>
            <w:szCs w:val="20"/>
          </w:rPr>
          <w:t xml:space="preserve">Charges calorifiques</w:t>
        </w:r>
      </w:hyperlink>
    </w:p>
    <w:p>
      <w:pPr>
        <w:spacing w:after="40" w:before="40"/>
        <w:ind w:left="720" w:hanging="0"/>
      </w:pPr>
      <w:hyperlink w:history="1" w:anchor="nexia_h_66">
        <w:r>
          <w:rPr>
            <w:b/>
            <w:bCs/>
            <w:color w:val="6B7280"/>
            <w:sz w:val="20"/>
            <w:szCs w:val="20"/>
          </w:rPr>
          <w:t xml:space="preserve">1.4.3.  </w:t>
        </w:r>
        <w:r>
          <w:rPr>
            <w:b w:val="false"/>
            <w:bCs w:val="false"/>
            <w:color w:val="6B7280"/>
            <w:sz w:val="20"/>
            <w:szCs w:val="20"/>
          </w:rPr>
          <w:t xml:space="preserve">Interdictions permanentes (affichage obligatoire)</w:t>
        </w:r>
      </w:hyperlink>
    </w:p>
    <w:p>
      <w:pPr>
        <w:spacing w:after="40" w:before="40"/>
        <w:ind w:left="360" w:hanging="0"/>
      </w:pPr>
      <w:hyperlink w:history="1" w:anchor="nexia_h_72">
        <w:r>
          <w:rPr>
            <w:b/>
            <w:bCs/>
            <w:color w:val="2C3344"/>
            <w:sz w:val="22"/>
            <w:szCs w:val="22"/>
          </w:rPr>
          <w:t xml:space="preserve">1.5.  </w:t>
        </w:r>
        <w:r>
          <w:rPr>
            <w:b w:val="false"/>
            <w:bCs w:val="false"/>
            <w:color w:val="2C3344"/>
            <w:sz w:val="22"/>
            <w:szCs w:val="22"/>
          </w:rPr>
          <w:t xml:space="preserve">Détection Automatique d'Incendie</w:t>
        </w:r>
      </w:hyperlink>
    </w:p>
    <w:p>
      <w:pPr>
        <w:spacing w:after="40" w:before="40"/>
        <w:ind w:left="720" w:hanging="0"/>
      </w:pPr>
      <w:hyperlink w:history="1" w:anchor="nexia_h_74">
        <w:r>
          <w:rPr>
            <w:b/>
            <w:bCs/>
            <w:color w:val="6B7280"/>
            <w:sz w:val="20"/>
            <w:szCs w:val="20"/>
          </w:rPr>
          <w:t xml:space="preserve">1.5.1.  </w:t>
        </w:r>
        <w:r>
          <w:rPr>
            <w:b w:val="false"/>
            <w:bCs w:val="false"/>
            <w:color w:val="6B7280"/>
            <w:sz w:val="20"/>
            <w:szCs w:val="20"/>
          </w:rPr>
          <w:t xml:space="preserve">SSI de catégorie A retenu</w:t>
        </w:r>
      </w:hyperlink>
    </w:p>
    <w:p>
      <w:pPr>
        <w:spacing w:after="40" w:before="40"/>
        <w:ind w:left="720" w:hanging="0"/>
      </w:pPr>
      <w:hyperlink w:history="1" w:anchor="nexia_h_78">
        <w:r>
          <w:rPr>
            <w:b/>
            <w:bCs/>
            <w:color w:val="6B7280"/>
            <w:sz w:val="20"/>
            <w:szCs w:val="20"/>
          </w:rPr>
          <w:t xml:space="preserve">1.5.2.  </w:t>
        </w:r>
        <w:r>
          <w:rPr>
            <w:b w:val="false"/>
            <w:bCs w:val="false"/>
            <w:color w:val="6B7280"/>
            <w:sz w:val="20"/>
            <w:szCs w:val="20"/>
          </w:rPr>
          <w:t xml:space="preserve">Calcul du nombre de détecteurs — Atelier</w:t>
        </w:r>
      </w:hyperlink>
    </w:p>
    <w:p>
      <w:pPr>
        <w:spacing w:after="40" w:before="40"/>
        <w:ind w:left="720" w:hanging="0"/>
      </w:pPr>
      <w:hyperlink w:history="1" w:anchor="nexia_h_92">
        <w:r>
          <w:rPr>
            <w:b/>
            <w:bCs/>
            <w:color w:val="6B7280"/>
            <w:sz w:val="20"/>
            <w:szCs w:val="20"/>
          </w:rPr>
          <w:t xml:space="preserve">1.5.3.  </w:t>
        </w:r>
        <w:r>
          <w:rPr>
            <w:b w:val="false"/>
            <w:bCs w:val="false"/>
            <w:color w:val="6B7280"/>
            <w:sz w:val="20"/>
            <w:szCs w:val="20"/>
          </w:rPr>
          <w:t xml:space="preserve">SCHÉMA 2 — ARCHITECTURE DU SYSTÈME DE SÉCURITÉ INCENDIE (SSI)</w:t>
        </w:r>
      </w:hyperlink>
    </w:p>
    <w:p>
      <w:pPr>
        <w:spacing w:after="40" w:before="40"/>
        <w:ind w:left="360" w:hanging="0"/>
      </w:pPr>
      <w:hyperlink w:history="1" w:anchor="nexia_h_100">
        <w:r>
          <w:rPr>
            <w:b/>
            <w:bCs/>
            <w:color w:val="2C3344"/>
            <w:sz w:val="22"/>
            <w:szCs w:val="22"/>
          </w:rPr>
          <w:t xml:space="preserve">1.6.  </w:t>
        </w:r>
        <w:r>
          <w:rPr>
            <w:b w:val="false"/>
            <w:bCs w:val="false"/>
            <w:color w:val="2C3344"/>
            <w:sz w:val="22"/>
            <w:szCs w:val="22"/>
          </w:rPr>
          <w:t xml:space="preserve">Désenfumage</w:t>
        </w:r>
      </w:hyperlink>
    </w:p>
    <w:p>
      <w:pPr>
        <w:spacing w:after="40" w:before="40"/>
        <w:ind w:left="720" w:hanging="0"/>
      </w:pPr>
      <w:hyperlink w:history="1" w:anchor="nexia_h_102">
        <w:r>
          <w:rPr>
            <w:b/>
            <w:bCs/>
            <w:color w:val="6B7280"/>
            <w:sz w:val="20"/>
            <w:szCs w:val="20"/>
          </w:rPr>
          <w:t xml:space="preserve">1.6.1.  </w:t>
        </w:r>
        <w:r>
          <w:rPr>
            <w:b w:val="false"/>
            <w:bCs w:val="false"/>
            <w:color w:val="6B7280"/>
            <w:sz w:val="20"/>
            <w:szCs w:val="20"/>
          </w:rPr>
          <w:t xml:space="preserve">Calcul de la surface d'extraction (Atelier 400 m²)</w:t>
        </w:r>
      </w:hyperlink>
    </w:p>
    <w:p>
      <w:pPr>
        <w:spacing w:after="40" w:before="40"/>
        <w:ind w:left="720" w:hanging="0"/>
      </w:pPr>
      <w:hyperlink w:history="1" w:anchor="nexia_h_112">
        <w:r>
          <w:rPr>
            <w:b/>
            <w:bCs/>
            <w:color w:val="6B7280"/>
            <w:sz w:val="20"/>
            <w:szCs w:val="20"/>
          </w:rPr>
          <w:t xml:space="preserve">1.6.2.  </w:t>
        </w:r>
        <w:r>
          <w:rPr>
            <w:b w:val="false"/>
            <w:bCs w:val="false"/>
            <w:color w:val="6B7280"/>
            <w:sz w:val="20"/>
            <w:szCs w:val="20"/>
          </w:rPr>
          <w:t xml:space="preserve">SCHÉMA 3 — PLAN DE DÉSENFUMAGE — COUPE LONGITUDINALE ATELIER</w:t>
        </w:r>
      </w:hyperlink>
    </w:p>
    <w:p>
      <w:pPr>
        <w:spacing w:after="40" w:before="40"/>
        <w:ind w:left="360" w:hanging="0"/>
      </w:pPr>
      <w:hyperlink w:history="1" w:anchor="nexia_h_122">
        <w:r>
          <w:rPr>
            <w:b/>
            <w:bCs/>
            <w:color w:val="2C3344"/>
            <w:sz w:val="22"/>
            <w:szCs w:val="22"/>
          </w:rPr>
          <w:t xml:space="preserve">1.7.  </w:t>
        </w:r>
        <w:r>
          <w:rPr>
            <w:b w:val="false"/>
            <w:bCs w:val="false"/>
            <w:color w:val="2C3344"/>
            <w:sz w:val="22"/>
            <w:szCs w:val="22"/>
          </w:rPr>
          <w:t xml:space="preserve">Moyens de Lutte Contre l'Incendie</w:t>
        </w:r>
      </w:hyperlink>
    </w:p>
    <w:p>
      <w:pPr>
        <w:spacing w:after="40" w:before="40"/>
        <w:ind w:left="720" w:hanging="0"/>
      </w:pPr>
      <w:hyperlink w:history="1" w:anchor="nexia_h_124">
        <w:r>
          <w:rPr>
            <w:b/>
            <w:bCs/>
            <w:color w:val="6B7280"/>
            <w:sz w:val="20"/>
            <w:szCs w:val="20"/>
          </w:rPr>
          <w:t xml:space="preserve">1.7.1.  </w:t>
        </w:r>
        <w:r>
          <w:rPr>
            <w:b w:val="false"/>
            <w:bCs w:val="false"/>
            <w:color w:val="6B7280"/>
            <w:sz w:val="20"/>
            <w:szCs w:val="20"/>
          </w:rPr>
          <w:t xml:space="preserve">Extincteurs — Récapitulatif</w:t>
        </w:r>
      </w:hyperlink>
    </w:p>
    <w:p>
      <w:pPr>
        <w:spacing w:after="40" w:before="40"/>
        <w:ind w:left="720" w:hanging="0"/>
      </w:pPr>
      <w:hyperlink w:history="1" w:anchor="nexia_h_128">
        <w:r>
          <w:rPr>
            <w:b/>
            <w:bCs/>
            <w:color w:val="6B7280"/>
            <w:sz w:val="20"/>
            <w:szCs w:val="20"/>
          </w:rPr>
          <w:t xml:space="preserve">1.7.2.  </w:t>
        </w:r>
        <w:r>
          <w:rPr>
            <w:b w:val="false"/>
            <w:bCs w:val="false"/>
            <w:color w:val="6B7280"/>
            <w:sz w:val="20"/>
            <w:szCs w:val="20"/>
          </w:rPr>
          <w:t xml:space="preserve">Légende picotgrammes ISO 7010</w:t>
        </w:r>
      </w:hyperlink>
    </w:p>
    <w:p>
      <w:pPr>
        <w:spacing w:after="40" w:before="40"/>
        <w:ind w:left="720" w:hanging="0"/>
      </w:pPr>
      <w:hyperlink w:history="1" w:anchor="nexia_h_134">
        <w:r>
          <w:rPr>
            <w:b/>
            <w:bCs/>
            <w:color w:val="6B7280"/>
            <w:sz w:val="20"/>
            <w:szCs w:val="20"/>
          </w:rPr>
          <w:t xml:space="preserve">1.7.3.  </w:t>
        </w:r>
        <w:r>
          <w:rPr>
            <w:b w:val="false"/>
            <w:bCs w:val="false"/>
            <w:color w:val="6B7280"/>
            <w:sz w:val="20"/>
            <w:szCs w:val="20"/>
          </w:rPr>
          <w:t xml:space="preserve">SCHÉMA 4 — LÉGENDE DES PICTOGRAMMES DE SÉCURITÉ ISO 7010</w:t>
        </w:r>
      </w:hyperlink>
    </w:p>
    <w:p>
      <w:pPr>
        <w:spacing w:after="40" w:before="40"/>
        <w:ind w:left="360" w:hanging="0"/>
      </w:pPr>
      <w:hyperlink w:history="1" w:anchor="nexia_h_142">
        <w:r>
          <w:rPr>
            <w:b/>
            <w:bCs/>
            <w:color w:val="2C3344"/>
            <w:sz w:val="22"/>
            <w:szCs w:val="22"/>
          </w:rPr>
          <w:t xml:space="preserve">1.8.  </w:t>
        </w:r>
        <w:r>
          <w:rPr>
            <w:b w:val="false"/>
            <w:bCs w:val="false"/>
            <w:color w:val="2C3344"/>
            <w:sz w:val="22"/>
            <w:szCs w:val="22"/>
          </w:rPr>
          <w:t xml:space="preserve">Évacuation et Dégagements</w:t>
        </w:r>
      </w:hyperlink>
    </w:p>
    <w:p>
      <w:pPr>
        <w:spacing w:after="40" w:before="40"/>
        <w:ind w:left="720" w:hanging="0"/>
      </w:pPr>
      <w:hyperlink w:history="1" w:anchor="nexia_h_144">
        <w:r>
          <w:rPr>
            <w:b/>
            <w:bCs/>
            <w:color w:val="6B7280"/>
            <w:sz w:val="20"/>
            <w:szCs w:val="20"/>
          </w:rPr>
          <w:t xml:space="preserve">1.8.1.  </w:t>
        </w:r>
        <w:r>
          <w:rPr>
            <w:b w:val="false"/>
            <w:bCs w:val="false"/>
            <w:color w:val="6B7280"/>
            <w:sz w:val="20"/>
            <w:szCs w:val="20"/>
          </w:rPr>
          <w:t xml:space="preserve">Largeurs de dégagement</w:t>
        </w:r>
      </w:hyperlink>
    </w:p>
    <w:p>
      <w:pPr>
        <w:spacing w:after="40" w:before="40"/>
        <w:ind w:left="720" w:hanging="0"/>
      </w:pPr>
      <w:hyperlink w:history="1" w:anchor="nexia_h_157">
        <w:r>
          <w:rPr>
            <w:b/>
            <w:bCs/>
            <w:color w:val="6B7280"/>
            <w:sz w:val="20"/>
            <w:szCs w:val="20"/>
          </w:rPr>
          <w:t xml:space="preserve">1.8.2.  </w:t>
        </w:r>
        <w:r>
          <w:rPr>
            <w:b w:val="false"/>
            <w:bCs w:val="false"/>
            <w:color w:val="6B7280"/>
            <w:sz w:val="20"/>
            <w:szCs w:val="20"/>
          </w:rPr>
          <w:t xml:space="preserve">SCHÉMA 5 — PLAN D'ÉVACUATION ET MOYENS DE LUTTE — VUE EN PLAN SITE COMPLET</w:t>
        </w:r>
      </w:hyperlink>
    </w:p>
    <w:p>
      <w:pPr>
        <w:spacing w:after="40" w:before="40"/>
        <w:ind w:left="360" w:hanging="0"/>
      </w:pPr>
      <w:hyperlink w:history="1" w:anchor="nexia_h_167">
        <w:r>
          <w:rPr>
            <w:b/>
            <w:bCs/>
            <w:color w:val="2C3344"/>
            <w:sz w:val="22"/>
            <w:szCs w:val="22"/>
          </w:rPr>
          <w:t xml:space="preserve">1.9.  </w:t>
        </w:r>
        <w:r>
          <w:rPr>
            <w:b w:val="false"/>
            <w:bCs w:val="false"/>
            <w:color w:val="2C3344"/>
            <w:sz w:val="22"/>
            <w:szCs w:val="22"/>
          </w:rPr>
          <w:t xml:space="preserve">Organisation de la Sécurité Incendie</w:t>
        </w:r>
      </w:hyperlink>
    </w:p>
    <w:p>
      <w:pPr>
        <w:spacing w:after="40" w:before="40"/>
        <w:ind w:left="720" w:hanging="0"/>
      </w:pPr>
      <w:hyperlink w:history="1" w:anchor="nexia_h_169">
        <w:r>
          <w:rPr>
            <w:b/>
            <w:bCs/>
            <w:color w:val="6B7280"/>
            <w:sz w:val="20"/>
            <w:szCs w:val="20"/>
          </w:rPr>
          <w:t xml:space="preserve">1.9.1.  </w:t>
        </w:r>
        <w:r>
          <w:rPr>
            <w:b w:val="false"/>
            <w:bCs w:val="false"/>
            <w:color w:val="6B7280"/>
            <w:sz w:val="20"/>
            <w:szCs w:val="20"/>
          </w:rPr>
          <w:t xml:space="preserve">Équipe de Sécurité Incendie (ESI)</w:t>
        </w:r>
      </w:hyperlink>
    </w:p>
    <w:p>
      <w:pPr>
        <w:spacing w:after="40" w:before="40"/>
        <w:ind w:left="720" w:hanging="0"/>
      </w:pPr>
      <w:hyperlink w:history="1" w:anchor="nexia_h_173">
        <w:r>
          <w:rPr>
            <w:b/>
            <w:bCs/>
            <w:color w:val="6B7280"/>
            <w:sz w:val="20"/>
            <w:szCs w:val="20"/>
          </w:rPr>
          <w:t xml:space="preserve">1.9.2.  </w:t>
        </w:r>
        <w:r>
          <w:rPr>
            <w:b w:val="false"/>
            <w:bCs w:val="false"/>
            <w:color w:val="6B7280"/>
            <w:sz w:val="20"/>
            <w:szCs w:val="20"/>
          </w:rPr>
          <w:t xml:space="preserve">Consignes générales en cas d'incendie</w:t>
        </w:r>
      </w:hyperlink>
    </w:p>
    <w:p>
      <w:pPr>
        <w:spacing w:after="40" w:before="40"/>
        <w:ind w:left="720" w:hanging="0"/>
      </w:pPr>
      <w:hyperlink w:history="1" w:anchor="nexia_h_177">
        <w:r>
          <w:rPr>
            <w:b/>
            <w:bCs/>
            <w:color w:val="6B7280"/>
            <w:sz w:val="20"/>
            <w:szCs w:val="20"/>
          </w:rPr>
          <w:t xml:space="preserve">1.9.3.  </w:t>
        </w:r>
        <w:r>
          <w:rPr>
            <w:b w:val="false"/>
            <w:bCs w:val="false"/>
            <w:color w:val="6B7280"/>
            <w:sz w:val="20"/>
            <w:szCs w:val="20"/>
          </w:rPr>
          <w:t xml:space="preserve">Formation du personnel</w:t>
        </w:r>
      </w:hyperlink>
    </w:p>
    <w:p>
      <w:pPr>
        <w:spacing w:after="40" w:before="40"/>
        <w:ind w:left="360" w:hanging="0"/>
      </w:pPr>
      <w:hyperlink w:history="1" w:anchor="nexia_h_183">
        <w:r>
          <w:rPr>
            <w:b/>
            <w:bCs/>
            <w:color w:val="2C3344"/>
            <w:sz w:val="22"/>
            <w:szCs w:val="22"/>
          </w:rPr>
          <w:t xml:space="preserve">1.10.  </w:t>
        </w:r>
        <w:r>
          <w:rPr>
            <w:b w:val="false"/>
            <w:bCs w:val="false"/>
            <w:color w:val="2C3344"/>
            <w:sz w:val="22"/>
            <w:szCs w:val="22"/>
          </w:rPr>
          <w:t xml:space="preserve">Plan de Prévention et Permis de Feu</w:t>
        </w:r>
      </w:hyperlink>
    </w:p>
    <w:p>
      <w:pPr>
        <w:spacing w:after="40" w:before="40"/>
        <w:ind w:left="720" w:hanging="0"/>
      </w:pPr>
      <w:hyperlink w:history="1" w:anchor="nexia_h_185">
        <w:r>
          <w:rPr>
            <w:b/>
            <w:bCs/>
            <w:color w:val="6B7280"/>
            <w:sz w:val="20"/>
            <w:szCs w:val="20"/>
          </w:rPr>
          <w:t xml:space="preserve">1.10.1.  </w:t>
        </w:r>
        <w:r>
          <w:rPr>
            <w:b w:val="false"/>
            <w:bCs w:val="false"/>
            <w:color w:val="6B7280"/>
            <w:sz w:val="20"/>
            <w:szCs w:val="20"/>
          </w:rPr>
          <w:t xml:space="preserve">Permis de feu — Travaux déclencheurs</w:t>
        </w:r>
      </w:hyperlink>
    </w:p>
    <w:p>
      <w:pPr>
        <w:spacing w:after="40" w:before="40"/>
        <w:ind w:left="720" w:hanging="0"/>
      </w:pPr>
      <w:hyperlink w:history="1" w:anchor="nexia_h_193">
        <w:r>
          <w:rPr>
            <w:b/>
            <w:bCs/>
            <w:color w:val="6B7280"/>
            <w:sz w:val="20"/>
            <w:szCs w:val="20"/>
          </w:rPr>
          <w:t xml:space="preserve">1.10.2.  </w:t>
        </w:r>
        <w:r>
          <w:rPr>
            <w:b w:val="false"/>
            <w:bCs w:val="false"/>
            <w:color w:val="6B7280"/>
            <w:sz w:val="20"/>
            <w:szCs w:val="20"/>
          </w:rPr>
          <w:t xml:space="preserve">Gestion des déchets combustibles</w:t>
        </w:r>
      </w:hyperlink>
    </w:p>
    <w:p>
      <w:pPr>
        <w:spacing w:after="40" w:before="40"/>
        <w:ind w:left="360" w:hanging="0"/>
      </w:pPr>
      <w:hyperlink w:history="1" w:anchor="nexia_h_201">
        <w:r>
          <w:rPr>
            <w:b/>
            <w:bCs/>
            <w:color w:val="2C3344"/>
            <w:sz w:val="22"/>
            <w:szCs w:val="22"/>
          </w:rPr>
          <w:t xml:space="preserve">1.11.  </w:t>
        </w:r>
        <w:r>
          <w:rPr>
            <w:b w:val="false"/>
            <w:bCs w:val="false"/>
            <w:color w:val="2C3344"/>
            <w:sz w:val="22"/>
            <w:szCs w:val="22"/>
          </w:rPr>
          <w:t xml:space="preserve">Registre de Sécurité et Contrôles Périodiques</w:t>
        </w:r>
      </w:hyperlink>
    </w:p>
    <w:p>
      <w:pPr>
        <w:spacing w:after="40" w:before="40"/>
        <w:ind w:left="360" w:hanging="0"/>
      </w:pPr>
      <w:hyperlink w:history="1" w:anchor="nexia_h_207">
        <w:r>
          <w:rPr>
            <w:b/>
            <w:bCs/>
            <w:color w:val="2C3344"/>
            <w:sz w:val="22"/>
            <w:szCs w:val="22"/>
          </w:rPr>
          <w:t xml:space="preserve">1.12.  </w:t>
        </w:r>
        <w:r>
          <w:rPr>
            <w:b w:val="false"/>
            <w:bCs w:val="false"/>
            <w:color w:val="2C3344"/>
            <w:sz w:val="22"/>
            <w:szCs w:val="22"/>
          </w:rPr>
          <w:t xml:space="preserve">Conclusion et Engagements</w:t>
        </w:r>
      </w:hyperlink>
    </w:p>
    <w:p>
      <w:pPr>
        <w:spacing w:after="40" w:before="40"/>
        <w:ind w:left="360" w:hanging="0"/>
      </w:pPr>
      <w:hyperlink w:history="1" w:anchor="nexia_h_225">
        <w:r>
          <w:rPr>
            <w:b/>
            <w:bCs/>
            <w:color w:val="2C3344"/>
            <w:sz w:val="22"/>
            <w:szCs w:val="22"/>
          </w:rPr>
          <w:t xml:space="preserve">1.13.  </w:t>
        </w:r>
        <w:r>
          <w:rPr>
            <w:b w:val="false"/>
            <w:bCs w:val="false"/>
            <w:color w:val="2C3344"/>
            <w:sz w:val="22"/>
            <w:szCs w:val="22"/>
          </w:rPr>
          <w:t xml:space="preserve">Bibliographie</w:t>
        </w:r>
      </w:hyperlink>
    </w:p>
    <w:p>
      <w:pPr>
        <w:spacing w:after="40" w:before="40"/>
        <w:ind w:left="360" w:hanging="0"/>
      </w:pPr>
      <w:hyperlink w:history="1" w:anchor="nexia_h_245">
        <w:r>
          <w:rPr>
            <w:b/>
            <w:bCs/>
            <w:color w:val="2C3344"/>
            <w:sz w:val="22"/>
            <w:szCs w:val="22"/>
          </w:rPr>
          <w:t xml:space="preserve">1.14.  </w:t>
        </w:r>
        <w:r>
          <w:rPr>
            <w:b w:val="false"/>
            <w:bCs w:val="false"/>
            <w:color w:val="2C3344"/>
            <w:sz w:val="22"/>
            <w:szCs w:val="22"/>
          </w:rPr>
          <w:t xml:space="preserve">Glossaire</w:t>
        </w:r>
      </w:hyperlink>
    </w:p>
    <w:p>
      <w:r>
        <w:br w:type="page"/>
      </w:r>
    </w:p>
    <w:p>
      <w:pPr>
        <w:spacing w:after="120" w:line="320"/>
        <w:jc w:val="both"/>
      </w:pPr>
      <w:r>
        <w:t xml:space="preserve">Tu as raison — la notice de sécurité est incomplète sans ses visuels. Voici la version enrichie avec tous les schémas et plans intégrés.Parfait. J'ai toutes les références normatives nécessaires. Je génère maintenant la notice complète avec les 6 schémas et plans de sécurité intégrés.</w:t>
      </w:r>
    </w:p>
    <w:p/>
    <w:p>
      <w:pPr>
        <w:pStyle w:val="Heading2"/>
      </w:pPr>
      <w:bookmarkStart w:name="nexia_h_2" w:id="1"/>
      <w:r>
        <w:rPr>
          <w:b/>
          <w:bCs/>
        </w:rPr>
        <w:t xml:space="preserve">1.1.  </w:t>
      </w:r>
      <w:r>
        <w:t xml:space="preserve">Notice de Sécurité Détaillée — Avec Schémas et Plans</w:t>
      </w:r>
      <w:bookmarkEnd w:id="1"/>
    </w:p>
    <w:p>
      <w:pPr>
        <w:pStyle w:val="Heading3"/>
      </w:pPr>
      <w:bookmarkStart w:name="nexia_h_3" w:id="1"/>
      <w:r>
        <w:rPr>
          <w:b/>
          <w:bCs/>
        </w:rPr>
        <w:t xml:space="preserve">1.1.1.  </w:t>
      </w:r>
      <w:r>
        <w:t xml:space="preserve">Atelier de Fabrication de Portes Haut de Gamme — Ngoundiane, Thiès, Sénégal</w:t>
      </w:r>
      <w:bookmarkEnd w:id="1"/>
    </w:p>
    <w:p/>
    <w:p>
      <w:pPr>
        <w:spacing w:after="120" w:line="320"/>
        <w:jc w:val="both"/>
      </w:pPr>
      <w:r>
        <w:rPr>
          <w:i/>
          <w:iCs/>
        </w:rPr>
        <w:t xml:space="preserve">Document complet avec visuels intégrés. Le fichier Word se télécharge automatiquement à la fin.</w:t>
      </w:r>
    </w:p>
    <w:p/>
    <w:p>
      <w:pPr>
        <w:pBdr>
          <w:bottom w:val="single" w:color="E5E1D8" w:sz="6" w:space="1"/>
        </w:pBdr>
        <w:spacing w:after="120" w:before="120"/>
      </w:pPr>
      <w:r>
        <w:t xml:space="preserve"/>
      </w:r>
    </w:p>
    <w:p/>
    <w:p>
      <w:pPr>
        <w:pStyle w:val="Heading2"/>
      </w:pPr>
      <w:bookmarkStart w:name="nexia_h_9" w:id="1"/>
      <w:r>
        <w:rPr>
          <w:b/>
          <w:bCs/>
        </w:rPr>
        <w:t xml:space="preserve">1.2.  </w:t>
      </w:r>
      <w:r>
        <w:t xml:space="preserve">Cadre Normatif et Réglementaire</w:t>
      </w:r>
      <w:bookmarkEnd w:id="1"/>
    </w:p>
    <w:p/>
    <w:p>
      <w:pPr>
        <w:pStyle w:val="Heading3"/>
      </w:pPr>
      <w:bookmarkStart w:name="nexia_h_11" w:id="1"/>
      <w:r>
        <w:rPr>
          <w:b/>
          <w:bCs/>
        </w:rPr>
        <w:t xml:space="preserve">1.2.1.  </w:t>
      </w:r>
      <w:r>
        <w:t xml:space="preserve">Textes sénégalais applicables</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Référence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Objet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Applicabilité</w:t>
            </w:r>
          </w:p>
        </w:tc>
      </w:tr>
      <w:tr>
        <w:tc>
          <w:tcPr>
            <w:tcW w:type="pct" w:w="33%"/>
            <w:tcMar>
              <w:top w:type="dxa" w:w="70"/>
              <w:left w:type="dxa" w:w="110"/>
              <w:bottom w:type="dxa" w:w="70"/>
              <w:right w:type="dxa" w:w="110"/>
            </w:tcMar>
          </w:tcPr>
          <w:p>
            <w:pPr>
              <w:spacing w:after="0" w:before="0"/>
              <w:jc w:val="left"/>
            </w:pPr>
            <w:r>
              <w:rPr>
                <w:sz w:val="22"/>
                <w:szCs w:val="22"/>
              </w:rPr>
              <w:t xml:space="preserve">Décret n°2010-99 du 27 janvier 2010</w:t>
            </w:r>
          </w:p>
        </w:tc>
        <w:tc>
          <w:tcPr>
            <w:tcW w:type="pct" w:w="33%"/>
            <w:tcMar>
              <w:top w:type="dxa" w:w="70"/>
              <w:left w:type="dxa" w:w="110"/>
              <w:bottom w:type="dxa" w:w="70"/>
              <w:right w:type="dxa" w:w="110"/>
            </w:tcMar>
          </w:tcPr>
          <w:p>
            <w:pPr>
              <w:spacing w:after="0" w:before="0"/>
              <w:jc w:val="left"/>
            </w:pPr>
            <w:r>
              <w:rPr>
                <w:sz w:val="22"/>
                <w:szCs w:val="22"/>
              </w:rPr>
              <w:t xml:space="preserve">Code de la Construction</w:t>
            </w:r>
          </w:p>
        </w:tc>
        <w:tc>
          <w:tcPr>
            <w:tcW w:type="pct" w:w="33%"/>
            <w:tcMar>
              <w:top w:type="dxa" w:w="70"/>
              <w:left w:type="dxa" w:w="110"/>
              <w:bottom w:type="dxa" w:w="70"/>
              <w:right w:type="dxa" w:w="110"/>
            </w:tcMar>
          </w:tcPr>
          <w:p>
            <w:pPr>
              <w:spacing w:after="0" w:before="0"/>
              <w:jc w:val="left"/>
            </w:pPr>
            <w:r>
              <w:rPr>
                <w:sz w:val="22"/>
                <w:szCs w:val="22"/>
              </w:rPr>
              <w:t xml:space="preserve">Structure, résistance au feu, évacuation</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Décret n°2009-1450 du 30 décembre 2009</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Code de l'Urbanisme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Voies d'accès, implantation</w:t>
            </w:r>
          </w:p>
        </w:tc>
      </w:tr>
      <w:tr>
        <w:tc>
          <w:tcPr>
            <w:tcW w:type="pct" w:w="33%"/>
            <w:tcMar>
              <w:top w:type="dxa" w:w="70"/>
              <w:left w:type="dxa" w:w="110"/>
              <w:bottom w:type="dxa" w:w="70"/>
              <w:right w:type="dxa" w:w="110"/>
            </w:tcMar>
          </w:tcPr>
          <w:p>
            <w:pPr>
              <w:spacing w:after="0" w:before="0"/>
              <w:jc w:val="left"/>
            </w:pPr>
            <w:r>
              <w:rPr>
                <w:sz w:val="22"/>
                <w:szCs w:val="22"/>
              </w:rPr>
              <w:t xml:space="preserve">Code du Travail — Art. L.182 et suivants</w:t>
            </w:r>
          </w:p>
        </w:tc>
        <w:tc>
          <w:tcPr>
            <w:tcW w:type="pct" w:w="33%"/>
            <w:tcMar>
              <w:top w:type="dxa" w:w="70"/>
              <w:left w:type="dxa" w:w="110"/>
              <w:bottom w:type="dxa" w:w="70"/>
              <w:right w:type="dxa" w:w="110"/>
            </w:tcMar>
          </w:tcPr>
          <w:p>
            <w:pPr>
              <w:spacing w:after="0" w:before="0"/>
              <w:jc w:val="left"/>
            </w:pPr>
            <w:r>
              <w:rPr>
                <w:sz w:val="22"/>
                <w:szCs w:val="22"/>
              </w:rPr>
              <w:t xml:space="preserve">Hygiène et sécurité</w:t>
            </w:r>
          </w:p>
        </w:tc>
        <w:tc>
          <w:tcPr>
            <w:tcW w:type="pct" w:w="33%"/>
            <w:tcMar>
              <w:top w:type="dxa" w:w="70"/>
              <w:left w:type="dxa" w:w="110"/>
              <w:bottom w:type="dxa" w:w="70"/>
              <w:right w:type="dxa" w:w="110"/>
            </w:tcMar>
          </w:tcPr>
          <w:p>
            <w:pPr>
              <w:spacing w:after="0" w:before="0"/>
              <w:jc w:val="left"/>
            </w:pPr>
            <w:r>
              <w:rPr>
                <w:sz w:val="22"/>
                <w:szCs w:val="22"/>
              </w:rPr>
              <w:t xml:space="preserve">Personnel, formation, consignes</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Arrêté interministériel n°5945 du 14 mai 1969</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Sécurité incendie ERP</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Showroom (ERP type M)</w:t>
            </w:r>
          </w:p>
        </w:tc>
      </w:tr>
      <w:tr>
        <w:tc>
          <w:tcPr>
            <w:tcW w:type="pct" w:w="33%"/>
            <w:tcMar>
              <w:top w:type="dxa" w:w="70"/>
              <w:left w:type="dxa" w:w="110"/>
              <w:bottom w:type="dxa" w:w="70"/>
              <w:right w:type="dxa" w:w="110"/>
            </w:tcMar>
          </w:tcPr>
          <w:p>
            <w:pPr>
              <w:spacing w:after="0" w:before="0"/>
              <w:jc w:val="left"/>
            </w:pPr>
            <w:r>
              <w:rPr>
                <w:sz w:val="22"/>
                <w:szCs w:val="22"/>
              </w:rPr>
              <w:t xml:space="preserve">Loi n°2008-41 sur la protection civile</w:t>
            </w:r>
          </w:p>
        </w:tc>
        <w:tc>
          <w:tcPr>
            <w:tcW w:type="pct" w:w="33%"/>
            <w:tcMar>
              <w:top w:type="dxa" w:w="70"/>
              <w:left w:type="dxa" w:w="110"/>
              <w:bottom w:type="dxa" w:w="70"/>
              <w:right w:type="dxa" w:w="110"/>
            </w:tcMar>
          </w:tcPr>
          <w:p>
            <w:pPr>
              <w:spacing w:after="0" w:before="0"/>
              <w:jc w:val="left"/>
            </w:pPr>
            <w:r>
              <w:rPr>
                <w:sz w:val="22"/>
                <w:szCs w:val="22"/>
              </w:rPr>
              <w:t xml:space="preserve">Obligations générales</w:t>
            </w:r>
          </w:p>
        </w:tc>
        <w:tc>
          <w:tcPr>
            <w:tcW w:type="pct" w:w="33%"/>
            <w:tcMar>
              <w:top w:type="dxa" w:w="70"/>
              <w:left w:type="dxa" w:w="110"/>
              <w:bottom w:type="dxa" w:w="70"/>
              <w:right w:type="dxa" w:w="110"/>
            </w:tcMar>
          </w:tcPr>
          <w:p>
            <w:pPr>
              <w:spacing w:after="0" w:before="0"/>
              <w:jc w:val="left"/>
            </w:pPr>
            <w:r>
              <w:rPr>
                <w:sz w:val="22"/>
                <w:szCs w:val="22"/>
              </w:rPr>
              <w:t xml:space="preserve">Ensemble du site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Code de l'Environnement — Art. L9</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Installations classées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Atelier bois</w:t>
            </w:r>
          </w:p>
        </w:tc>
      </w:tr>
    </w:tbl>
    <w:p/>
    <w:p/>
    <w:p>
      <w:pPr>
        <w:pStyle w:val="Heading3"/>
      </w:pPr>
      <w:bookmarkStart w:name="nexia_h_15" w:id="1"/>
      <w:r>
        <w:rPr>
          <w:b/>
          <w:bCs/>
        </w:rPr>
        <w:t xml:space="preserve">1.2.2.  </w:t>
      </w:r>
      <w:r>
        <w:t xml:space="preserve">Normes techniques de référence</w:t>
      </w:r>
      <w:bookmarkEnd w:id="1"/>
    </w:p>
    <w:p/>
    <w:p>
      <w:pPr>
        <w:spacing w:after="120" w:line="320"/>
        <w:jc w:val="both"/>
      </w:pPr>
      <w:r>
        <w:t xml:space="preserve">La signalétique de sécurité est régie par la norme </w:t>
      </w:r>
      <w:r>
        <w:rPr>
          <w:b/>
          <w:bCs/>
        </w:rPr>
        <w:t xml:space="preserve">ISO 7010</w:t>
      </w:r>
      <w:r>
        <w:t xml:space="preserve">, qui définit la forme, les couleurs et le contenu des symboles de sécurité utilisés sur les lieux de travail et dans les bâtiments accueillant du public. Elle s'applique aux pictogrammes de signalisation de secours (fond vert), aux pictogrammes d'avertissement (fond jaune, triangle noir), aux pictogrammes d'interdiction (fond blanc, cercle rouge) et aux pictogrammes d'obligation.</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Norme</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Objet</w:t>
            </w:r>
          </w:p>
        </w:tc>
      </w:tr>
      <w:tr>
        <w:tc>
          <w:tcPr>
            <w:tcW w:type="pct" w:w="50%"/>
            <w:tcMar>
              <w:top w:type="dxa" w:w="70"/>
              <w:left w:type="dxa" w:w="110"/>
              <w:bottom w:type="dxa" w:w="70"/>
              <w:right w:type="dxa" w:w="110"/>
            </w:tcMar>
          </w:tcPr>
          <w:p>
            <w:pPr>
              <w:spacing w:after="0" w:before="0"/>
              <w:jc w:val="left"/>
            </w:pPr>
            <w:r>
              <w:rPr>
                <w:sz w:val="22"/>
                <w:szCs w:val="22"/>
              </w:rPr>
              <w:t xml:space="preserve">ISO 7010:2019</w:t>
            </w:r>
          </w:p>
        </w:tc>
        <w:tc>
          <w:tcPr>
            <w:tcW w:type="pct" w:w="50%"/>
            <w:tcMar>
              <w:top w:type="dxa" w:w="70"/>
              <w:left w:type="dxa" w:w="110"/>
              <w:bottom w:type="dxa" w:w="70"/>
              <w:right w:type="dxa" w:w="110"/>
            </w:tcMar>
          </w:tcPr>
          <w:p>
            <w:pPr>
              <w:spacing w:after="0" w:before="0"/>
              <w:jc w:val="left"/>
            </w:pPr>
            <w:r>
              <w:rPr>
                <w:sz w:val="22"/>
                <w:szCs w:val="22"/>
              </w:rPr>
              <w:t xml:space="preserve">Symboles graphiques de sécurité — pictogrammes normalisés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NF X 08-070</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Plans de sécurité incendie — conception et implantation</w:t>
            </w:r>
          </w:p>
        </w:tc>
      </w:tr>
      <w:tr>
        <w:tc>
          <w:tcPr>
            <w:tcW w:type="pct" w:w="50%"/>
            <w:tcMar>
              <w:top w:type="dxa" w:w="70"/>
              <w:left w:type="dxa" w:w="110"/>
              <w:bottom w:type="dxa" w:w="70"/>
              <w:right w:type="dxa" w:w="110"/>
            </w:tcMar>
          </w:tcPr>
          <w:p>
            <w:pPr>
              <w:spacing w:after="0" w:before="0"/>
              <w:jc w:val="left"/>
            </w:pPr>
            <w:r>
              <w:rPr>
                <w:sz w:val="22"/>
                <w:szCs w:val="22"/>
              </w:rPr>
              <w:t xml:space="preserve">NF EN 54 (série)</w:t>
            </w:r>
          </w:p>
        </w:tc>
        <w:tc>
          <w:tcPr>
            <w:tcW w:type="pct" w:w="50%"/>
            <w:tcMar>
              <w:top w:type="dxa" w:w="70"/>
              <w:left w:type="dxa" w:w="110"/>
              <w:bottom w:type="dxa" w:w="70"/>
              <w:right w:type="dxa" w:w="110"/>
            </w:tcMar>
          </w:tcPr>
          <w:p>
            <w:pPr>
              <w:spacing w:after="0" w:before="0"/>
              <w:jc w:val="left"/>
            </w:pPr>
            <w:r>
              <w:rPr>
                <w:sz w:val="22"/>
                <w:szCs w:val="22"/>
              </w:rPr>
              <w:t xml:space="preserve">Systèmes de détection et d'alarme incendie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NF EN 12101-2</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Exutoires de fumée — exigences de performance</w:t>
            </w:r>
          </w:p>
        </w:tc>
      </w:tr>
      <w:tr>
        <w:tc>
          <w:tcPr>
            <w:tcW w:type="pct" w:w="50%"/>
            <w:tcMar>
              <w:top w:type="dxa" w:w="70"/>
              <w:left w:type="dxa" w:w="110"/>
              <w:bottom w:type="dxa" w:w="70"/>
              <w:right w:type="dxa" w:w="110"/>
            </w:tcMar>
          </w:tcPr>
          <w:p>
            <w:pPr>
              <w:spacing w:after="0" w:before="0"/>
              <w:jc w:val="left"/>
            </w:pPr>
            <w:r>
              <w:rPr>
                <w:sz w:val="22"/>
                <w:szCs w:val="22"/>
              </w:rPr>
              <w:t xml:space="preserve">NF EN 671-1/2</w:t>
            </w:r>
          </w:p>
        </w:tc>
        <w:tc>
          <w:tcPr>
            <w:tcW w:type="pct" w:w="50%"/>
            <w:tcMar>
              <w:top w:type="dxa" w:w="70"/>
              <w:left w:type="dxa" w:w="110"/>
              <w:bottom w:type="dxa" w:w="70"/>
              <w:right w:type="dxa" w:w="110"/>
            </w:tcMar>
          </w:tcPr>
          <w:p>
            <w:pPr>
              <w:spacing w:after="0" w:before="0"/>
              <w:jc w:val="left"/>
            </w:pPr>
            <w:r>
              <w:rPr>
                <w:sz w:val="22"/>
                <w:szCs w:val="22"/>
              </w:rPr>
              <w:t xml:space="preserve">Robinets d'incendie armés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NF EN 3-7</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Extincteurs portatifs</w:t>
            </w:r>
          </w:p>
        </w:tc>
      </w:tr>
      <w:tr>
        <w:tc>
          <w:tcPr>
            <w:tcW w:type="pct" w:w="50%"/>
            <w:tcMar>
              <w:top w:type="dxa" w:w="70"/>
              <w:left w:type="dxa" w:w="110"/>
              <w:bottom w:type="dxa" w:w="70"/>
              <w:right w:type="dxa" w:w="110"/>
            </w:tcMar>
          </w:tcPr>
          <w:p>
            <w:pPr>
              <w:spacing w:after="0" w:before="0"/>
              <w:jc w:val="left"/>
            </w:pPr>
            <w:r>
              <w:rPr>
                <w:sz w:val="22"/>
                <w:szCs w:val="22"/>
              </w:rPr>
              <w:t xml:space="preserve">NF EN 1838</w:t>
            </w:r>
          </w:p>
        </w:tc>
        <w:tc>
          <w:tcPr>
            <w:tcW w:type="pct" w:w="50%"/>
            <w:tcMar>
              <w:top w:type="dxa" w:w="70"/>
              <w:left w:type="dxa" w:w="110"/>
              <w:bottom w:type="dxa" w:w="70"/>
              <w:right w:type="dxa" w:w="110"/>
            </w:tcMar>
          </w:tcPr>
          <w:p>
            <w:pPr>
              <w:spacing w:after="0" w:before="0"/>
              <w:jc w:val="left"/>
            </w:pPr>
            <w:r>
              <w:rPr>
                <w:sz w:val="22"/>
                <w:szCs w:val="22"/>
              </w:rPr>
              <w:t xml:space="preserve">Éclairage de sécurité — BAES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NF S 61-919</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Systèmes de détection incendie — règles d'installation</w:t>
            </w:r>
          </w:p>
        </w:tc>
      </w:tr>
      <w:tr>
        <w:tc>
          <w:tcPr>
            <w:tcW w:type="pct" w:w="50%"/>
            <w:tcMar>
              <w:top w:type="dxa" w:w="70"/>
              <w:left w:type="dxa" w:w="110"/>
              <w:bottom w:type="dxa" w:w="70"/>
              <w:right w:type="dxa" w:w="110"/>
            </w:tcMar>
          </w:tcPr>
          <w:p>
            <w:pPr>
              <w:spacing w:after="0" w:before="0"/>
              <w:jc w:val="left"/>
            </w:pPr>
            <w:r>
              <w:rPr>
                <w:sz w:val="22"/>
                <w:szCs w:val="22"/>
              </w:rPr>
              <w:t xml:space="preserve">ISO 45001:2018</w:t>
            </w:r>
          </w:p>
        </w:tc>
        <w:tc>
          <w:tcPr>
            <w:tcW w:type="pct" w:w="50%"/>
            <w:tcMar>
              <w:top w:type="dxa" w:w="70"/>
              <w:left w:type="dxa" w:w="110"/>
              <w:bottom w:type="dxa" w:w="70"/>
              <w:right w:type="dxa" w:w="110"/>
            </w:tcMar>
          </w:tcPr>
          <w:p>
            <w:pPr>
              <w:spacing w:after="0" w:before="0"/>
              <w:jc w:val="left"/>
            </w:pPr>
            <w:r>
              <w:rPr>
                <w:sz w:val="22"/>
                <w:szCs w:val="22"/>
              </w:rPr>
              <w:t xml:space="preserve">Management de la santé et sécurité au travail</w:t>
            </w:r>
          </w:p>
        </w:tc>
      </w:tr>
    </w:tbl>
    <w:p/>
    <w:p/>
    <w:p>
      <w:pPr>
        <w:pStyle w:val="Heading3"/>
      </w:pPr>
      <w:bookmarkStart w:name="nexia_h_21" w:id="1"/>
      <w:r>
        <w:rPr>
          <w:b/>
          <w:bCs/>
        </w:rPr>
        <w:t xml:space="preserve">1.2.3.  </w:t>
      </w:r>
      <w:r>
        <w:t xml:space="preserve">Classification de l'établissement</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Critère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Valeur</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Classement</w:t>
            </w:r>
          </w:p>
        </w:tc>
      </w:tr>
      <w:tr>
        <w:tc>
          <w:tcPr>
            <w:tcW w:type="pct" w:w="33%"/>
            <w:tcMar>
              <w:top w:type="dxa" w:w="70"/>
              <w:left w:type="dxa" w:w="110"/>
              <w:bottom w:type="dxa" w:w="70"/>
              <w:right w:type="dxa" w:w="110"/>
            </w:tcMar>
          </w:tcPr>
          <w:p>
            <w:pPr>
              <w:spacing w:after="0" w:before="0"/>
              <w:jc w:val="left"/>
            </w:pPr>
            <w:r>
              <w:rPr>
                <w:sz w:val="22"/>
                <w:szCs w:val="22"/>
              </w:rPr>
              <w:t xml:space="preserve">Activité principale</w:t>
            </w:r>
          </w:p>
        </w:tc>
        <w:tc>
          <w:tcPr>
            <w:tcW w:type="pct" w:w="33%"/>
            <w:tcMar>
              <w:top w:type="dxa" w:w="70"/>
              <w:left w:type="dxa" w:w="110"/>
              <w:bottom w:type="dxa" w:w="70"/>
              <w:right w:type="dxa" w:w="110"/>
            </w:tcMar>
          </w:tcPr>
          <w:p>
            <w:pPr>
              <w:spacing w:after="0" w:before="0"/>
              <w:jc w:val="left"/>
            </w:pPr>
            <w:r>
              <w:rPr>
                <w:sz w:val="22"/>
                <w:szCs w:val="22"/>
              </w:rPr>
              <w:t xml:space="preserve">Fabrication portes — menuiserie bois</w:t>
            </w:r>
          </w:p>
        </w:tc>
        <w:tc>
          <w:tcPr>
            <w:tcW w:type="pct" w:w="33%"/>
            <w:tcMar>
              <w:top w:type="dxa" w:w="70"/>
              <w:left w:type="dxa" w:w="110"/>
              <w:bottom w:type="dxa" w:w="70"/>
              <w:right w:type="dxa" w:w="110"/>
            </w:tcMar>
          </w:tcPr>
          <w:p>
            <w:pPr>
              <w:spacing w:after="0" w:before="0"/>
              <w:jc w:val="left"/>
            </w:pPr>
            <w:r>
              <w:rPr>
                <w:sz w:val="22"/>
                <w:szCs w:val="22"/>
              </w:rPr>
              <w:t xml:space="preserve">Atelier industriel</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Activité secondaire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Commerce exposition ERP</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Type M — 5e catégorie</w:t>
            </w:r>
          </w:p>
        </w:tc>
      </w:tr>
      <w:tr>
        <w:tc>
          <w:tcPr>
            <w:tcW w:type="pct" w:w="33%"/>
            <w:tcMar>
              <w:top w:type="dxa" w:w="70"/>
              <w:left w:type="dxa" w:w="110"/>
              <w:bottom w:type="dxa" w:w="70"/>
              <w:right w:type="dxa" w:w="110"/>
            </w:tcMar>
          </w:tcPr>
          <w:p>
            <w:pPr>
              <w:spacing w:after="0" w:before="0"/>
              <w:jc w:val="left"/>
            </w:pPr>
            <w:r>
              <w:rPr>
                <w:sz w:val="22"/>
                <w:szCs w:val="22"/>
              </w:rPr>
              <w:t xml:space="preserve">Effectif total</w:t>
            </w:r>
          </w:p>
        </w:tc>
        <w:tc>
          <w:tcPr>
            <w:tcW w:type="pct" w:w="33%"/>
            <w:tcMar>
              <w:top w:type="dxa" w:w="70"/>
              <w:left w:type="dxa" w:w="110"/>
              <w:bottom w:type="dxa" w:w="70"/>
              <w:right w:type="dxa" w:w="110"/>
            </w:tcMar>
          </w:tcPr>
          <w:p>
            <w:pPr>
              <w:spacing w:after="0" w:before="0"/>
              <w:jc w:val="left"/>
            </w:pPr>
            <w:r>
              <w:rPr>
                <w:sz w:val="22"/>
                <w:szCs w:val="22"/>
              </w:rPr>
              <w:t xml:space="preserve">15 à 25 personnes</w:t>
            </w:r>
          </w:p>
        </w:tc>
        <w:tc>
          <w:tcPr>
            <w:tcW w:type="pct" w:w="33%"/>
            <w:tcMar>
              <w:top w:type="dxa" w:w="70"/>
              <w:left w:type="dxa" w:w="110"/>
              <w:bottom w:type="dxa" w:w="70"/>
              <w:right w:type="dxa" w:w="110"/>
            </w:tcMar>
          </w:tcPr>
          <w:p>
            <w:pPr>
              <w:spacing w:after="0" w:before="0"/>
              <w:jc w:val="left"/>
            </w:pPr>
            <w:r>
              <w:rPr>
                <w:sz w:val="22"/>
                <w:szCs w:val="22"/>
              </w:rPr>
              <w:t xml:space="preserve">ERP 5e catégorie (showroom)</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Surface atelier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400 m²</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Zone industrielle</w:t>
            </w:r>
          </w:p>
        </w:tc>
      </w:tr>
      <w:tr>
        <w:tc>
          <w:tcPr>
            <w:tcW w:type="pct" w:w="33%"/>
            <w:tcMar>
              <w:top w:type="dxa" w:w="70"/>
              <w:left w:type="dxa" w:w="110"/>
              <w:bottom w:type="dxa" w:w="70"/>
              <w:right w:type="dxa" w:w="110"/>
            </w:tcMar>
          </w:tcPr>
          <w:p>
            <w:pPr>
              <w:spacing w:after="0" w:before="0"/>
              <w:jc w:val="left"/>
            </w:pPr>
            <w:r>
              <w:rPr>
                <w:sz w:val="22"/>
                <w:szCs w:val="22"/>
              </w:rPr>
              <w:t xml:space="preserve">Charge calorifique</w:t>
            </w:r>
          </w:p>
        </w:tc>
        <w:tc>
          <w:tcPr>
            <w:tcW w:type="pct" w:w="33%"/>
            <w:tcMar>
              <w:top w:type="dxa" w:w="70"/>
              <w:left w:type="dxa" w:w="110"/>
              <w:bottom w:type="dxa" w:w="70"/>
              <w:right w:type="dxa" w:w="110"/>
            </w:tcMar>
          </w:tcPr>
          <w:p>
            <w:pPr>
              <w:spacing w:after="0" w:before="0"/>
              <w:jc w:val="left"/>
            </w:pPr>
            <w:r>
              <w:rPr>
                <w:sz w:val="22"/>
                <w:szCs w:val="22"/>
              </w:rPr>
              <w:t xml:space="preserve">&gt; 100 MJ/m²</w:t>
            </w:r>
          </w:p>
        </w:tc>
        <w:tc>
          <w:tcPr>
            <w:tcW w:type="pct" w:w="33%"/>
            <w:tcMar>
              <w:top w:type="dxa" w:w="70"/>
              <w:left w:type="dxa" w:w="110"/>
              <w:bottom w:type="dxa" w:w="70"/>
              <w:right w:type="dxa" w:w="110"/>
            </w:tcMar>
          </w:tcPr>
          <w:p>
            <w:pPr>
              <w:spacing w:after="0" w:before="0"/>
              <w:jc w:val="left"/>
            </w:pPr>
            <w:r>
              <w:rPr>
                <w:sz w:val="22"/>
                <w:szCs w:val="22"/>
              </w:rPr>
              <w:t xml:space="preserve">Risque élevé — Classe I</w:t>
            </w:r>
          </w:p>
        </w:tc>
      </w:tr>
    </w:tbl>
    <w:p/>
    <w:p/>
    <w:p>
      <w:pPr>
        <w:pBdr>
          <w:bottom w:val="single" w:color="E5E1D8" w:sz="6" w:space="1"/>
        </w:pBdr>
        <w:spacing w:after="120" w:before="120"/>
      </w:pPr>
      <w:r>
        <w:t xml:space="preserve"/>
      </w:r>
    </w:p>
    <w:p/>
    <w:p>
      <w:pPr>
        <w:pStyle w:val="Heading2"/>
      </w:pPr>
      <w:bookmarkStart w:name="nexia_h_27" w:id="1"/>
      <w:r>
        <w:rPr>
          <w:b/>
          <w:bCs/>
        </w:rPr>
        <w:t xml:space="preserve">1.3.  </w:t>
      </w:r>
      <w:r>
        <w:t xml:space="preserve">Description de l'Établissement et Analyse des Risques</w:t>
      </w:r>
      <w:bookmarkEnd w:id="1"/>
    </w:p>
    <w:p/>
    <w:p>
      <w:pPr>
        <w:pStyle w:val="Heading3"/>
      </w:pPr>
      <w:bookmarkStart w:name="nexia_h_29" w:id="1"/>
      <w:r>
        <w:rPr>
          <w:b/>
          <w:bCs/>
        </w:rPr>
        <w:t xml:space="preserve">1.3.1.  </w:t>
      </w:r>
      <w:r>
        <w:t xml:space="preserve">Description générale du site</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Paramètre</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Description</w:t>
            </w:r>
          </w:p>
        </w:tc>
      </w:tr>
      <w:tr>
        <w:tc>
          <w:tcPr>
            <w:tcW w:type="pct" w:w="50%"/>
            <w:tcMar>
              <w:top w:type="dxa" w:w="70"/>
              <w:left w:type="dxa" w:w="110"/>
              <w:bottom w:type="dxa" w:w="70"/>
              <w:right w:type="dxa" w:w="110"/>
            </w:tcMar>
          </w:tcPr>
          <w:p>
            <w:pPr>
              <w:spacing w:after="0" w:before="0"/>
              <w:jc w:val="left"/>
            </w:pPr>
            <w:r>
              <w:rPr>
                <w:sz w:val="22"/>
                <w:szCs w:val="22"/>
              </w:rPr>
              <w:t xml:space="preserve">Dénomination</w:t>
            </w:r>
          </w:p>
        </w:tc>
        <w:tc>
          <w:tcPr>
            <w:tcW w:type="pct" w:w="50%"/>
            <w:tcMar>
              <w:top w:type="dxa" w:w="70"/>
              <w:left w:type="dxa" w:w="110"/>
              <w:bottom w:type="dxa" w:w="70"/>
              <w:right w:type="dxa" w:w="110"/>
            </w:tcMar>
          </w:tcPr>
          <w:p>
            <w:pPr>
              <w:spacing w:after="0" w:before="0"/>
              <w:jc w:val="left"/>
            </w:pPr>
            <w:r>
              <w:rPr>
                <w:sz w:val="22"/>
                <w:szCs w:val="22"/>
              </w:rPr>
              <w:t xml:space="preserve">Atelier de fabrication de portes haut de gamme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Localisation</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Ngoundiane, région de Thiès, Sénégal</w:t>
            </w:r>
          </w:p>
        </w:tc>
      </w:tr>
      <w:tr>
        <w:tc>
          <w:tcPr>
            <w:tcW w:type="pct" w:w="50%"/>
            <w:tcMar>
              <w:top w:type="dxa" w:w="70"/>
              <w:left w:type="dxa" w:w="110"/>
              <w:bottom w:type="dxa" w:w="70"/>
              <w:right w:type="dxa" w:w="110"/>
            </w:tcMar>
          </w:tcPr>
          <w:p>
            <w:pPr>
              <w:spacing w:after="0" w:before="0"/>
              <w:jc w:val="left"/>
            </w:pPr>
            <w:r>
              <w:rPr>
                <w:sz w:val="22"/>
                <w:szCs w:val="22"/>
              </w:rPr>
              <w:t xml:space="preserve">Responsable Sécurité (RSI)</w:t>
            </w:r>
          </w:p>
        </w:tc>
        <w:tc>
          <w:tcPr>
            <w:tcW w:type="pct" w:w="50%"/>
            <w:tcMar>
              <w:top w:type="dxa" w:w="70"/>
              <w:left w:type="dxa" w:w="110"/>
              <w:bottom w:type="dxa" w:w="70"/>
              <w:right w:type="dxa" w:w="110"/>
            </w:tcMar>
          </w:tcPr>
          <w:p>
            <w:pPr>
              <w:spacing w:after="0" w:before="0"/>
              <w:jc w:val="left"/>
            </w:pPr>
            <w:r>
              <w:rPr>
                <w:sz w:val="22"/>
                <w:szCs w:val="22"/>
              </w:rPr>
              <w:t xml:space="preserve">À désigner nominativement</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Sapeurs-Pompiers Thiès</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Tel : 18 (national)</w:t>
            </w:r>
          </w:p>
        </w:tc>
      </w:tr>
      <w:tr>
        <w:tc>
          <w:tcPr>
            <w:tcW w:type="pct" w:w="50%"/>
            <w:tcMar>
              <w:top w:type="dxa" w:w="70"/>
              <w:left w:type="dxa" w:w="110"/>
              <w:bottom w:type="dxa" w:w="70"/>
              <w:right w:type="dxa" w:w="110"/>
            </w:tcMar>
          </w:tcPr>
          <w:p>
            <w:pPr>
              <w:spacing w:after="0" w:before="0"/>
              <w:jc w:val="left"/>
            </w:pPr>
            <w:r>
              <w:rPr>
                <w:sz w:val="22"/>
                <w:szCs w:val="22"/>
              </w:rPr>
              <w:t xml:space="preserve">Surface atelier</w:t>
            </w:r>
          </w:p>
        </w:tc>
        <w:tc>
          <w:tcPr>
            <w:tcW w:type="pct" w:w="50%"/>
            <w:tcMar>
              <w:top w:type="dxa" w:w="70"/>
              <w:left w:type="dxa" w:w="110"/>
              <w:bottom w:type="dxa" w:w="70"/>
              <w:right w:type="dxa" w:w="110"/>
            </w:tcMar>
          </w:tcPr>
          <w:p>
            <w:pPr>
              <w:spacing w:after="0" w:before="0"/>
              <w:jc w:val="left"/>
            </w:pPr>
            <w:r>
              <w:rPr>
                <w:sz w:val="22"/>
                <w:szCs w:val="22"/>
              </w:rPr>
              <w:t xml:space="preserve">400 m² (20 × 20 m) — HSP 6 m</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Surface showroom</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200 m² (20 × 10 m) — HSP 3,5 m</w:t>
            </w:r>
          </w:p>
        </w:tc>
      </w:tr>
      <w:tr>
        <w:tc>
          <w:tcPr>
            <w:tcW w:type="pct" w:w="50%"/>
            <w:tcMar>
              <w:top w:type="dxa" w:w="70"/>
              <w:left w:type="dxa" w:w="110"/>
              <w:bottom w:type="dxa" w:w="70"/>
              <w:right w:type="dxa" w:w="110"/>
            </w:tcMar>
          </w:tcPr>
          <w:p>
            <w:pPr>
              <w:spacing w:after="0" w:before="0"/>
              <w:jc w:val="left"/>
            </w:pPr>
            <w:r>
              <w:rPr>
                <w:sz w:val="22"/>
                <w:szCs w:val="22"/>
              </w:rPr>
              <w:t xml:space="preserve">Surface bureaux</w:t>
            </w:r>
          </w:p>
        </w:tc>
        <w:tc>
          <w:tcPr>
            <w:tcW w:type="pct" w:w="50%"/>
            <w:tcMar>
              <w:top w:type="dxa" w:w="70"/>
              <w:left w:type="dxa" w:w="110"/>
              <w:bottom w:type="dxa" w:w="70"/>
              <w:right w:type="dxa" w:w="110"/>
            </w:tcMar>
          </w:tcPr>
          <w:p>
            <w:pPr>
              <w:spacing w:after="0" w:before="0"/>
              <w:jc w:val="left"/>
            </w:pPr>
            <w:r>
              <w:rPr>
                <w:sz w:val="22"/>
                <w:szCs w:val="22"/>
              </w:rPr>
              <w:t xml:space="preserve">50 m² — RDC</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Surface poste HTA</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12 m² — local séparé REI 120</w:t>
            </w:r>
          </w:p>
        </w:tc>
      </w:tr>
      <w:tr>
        <w:tc>
          <w:tcPr>
            <w:tcW w:type="pct" w:w="50%"/>
            <w:tcMar>
              <w:top w:type="dxa" w:w="70"/>
              <w:left w:type="dxa" w:w="110"/>
              <w:bottom w:type="dxa" w:w="70"/>
              <w:right w:type="dxa" w:w="110"/>
            </w:tcMar>
          </w:tcPr>
          <w:p>
            <w:pPr>
              <w:spacing w:after="0" w:before="0"/>
              <w:jc w:val="left"/>
            </w:pPr>
            <w:r>
              <w:rPr>
                <w:sz w:val="22"/>
                <w:szCs w:val="22"/>
              </w:rPr>
              <w:t xml:space="preserve">Effectif maximum</w:t>
            </w:r>
          </w:p>
        </w:tc>
        <w:tc>
          <w:tcPr>
            <w:tcW w:type="pct" w:w="50%"/>
            <w:tcMar>
              <w:top w:type="dxa" w:w="70"/>
              <w:left w:type="dxa" w:w="110"/>
              <w:bottom w:type="dxa" w:w="70"/>
              <w:right w:type="dxa" w:w="110"/>
            </w:tcMar>
          </w:tcPr>
          <w:p>
            <w:pPr>
              <w:spacing w:after="0" w:before="0"/>
              <w:jc w:val="left"/>
            </w:pPr>
            <w:r>
              <w:rPr>
                <w:sz w:val="22"/>
                <w:szCs w:val="22"/>
              </w:rPr>
              <w:t xml:space="preserve">25 personnes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Horaires</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08h00 – 18h00, lundi au samedi</w:t>
            </w:r>
          </w:p>
        </w:tc>
      </w:tr>
      <w:tr>
        <w:tc>
          <w:tcPr>
            <w:tcW w:type="pct" w:w="50%"/>
            <w:tcMar>
              <w:top w:type="dxa" w:w="70"/>
              <w:left w:type="dxa" w:w="110"/>
              <w:bottom w:type="dxa" w:w="70"/>
              <w:right w:type="dxa" w:w="110"/>
            </w:tcMar>
          </w:tcPr>
          <w:p>
            <w:pPr>
              <w:spacing w:after="0" w:before="0"/>
              <w:jc w:val="left"/>
            </w:pPr>
            <w:r>
              <w:rPr>
                <w:sz w:val="22"/>
                <w:szCs w:val="22"/>
              </w:rPr>
              <w:t xml:space="preserve">Gardien de nuit</w:t>
            </w:r>
          </w:p>
        </w:tc>
        <w:tc>
          <w:tcPr>
            <w:tcW w:type="pct" w:w="50%"/>
            <w:tcMar>
              <w:top w:type="dxa" w:w="70"/>
              <w:left w:type="dxa" w:w="110"/>
              <w:bottom w:type="dxa" w:w="70"/>
              <w:right w:type="dxa" w:w="110"/>
            </w:tcMar>
          </w:tcPr>
          <w:p>
            <w:pPr>
              <w:spacing w:after="0" w:before="0"/>
              <w:jc w:val="left"/>
            </w:pPr>
            <w:r>
              <w:rPr>
                <w:sz w:val="22"/>
                <w:szCs w:val="22"/>
              </w:rPr>
              <w:t xml:space="preserve">OUI — poste de surveillance permanent</w:t>
            </w:r>
          </w:p>
        </w:tc>
      </w:tr>
    </w:tbl>
    <w:p/>
    <w:p/>
    <w:p>
      <w:pPr>
        <w:pStyle w:val="Heading3"/>
      </w:pPr>
      <w:bookmarkStart w:name="nexia_h_33" w:id="1"/>
      <w:r>
        <w:rPr>
          <w:b/>
          <w:bCs/>
        </w:rPr>
        <w:t xml:space="preserve">1.3.2.  </w:t>
      </w:r>
      <w:r>
        <w:t xml:space="preserve">Identification des Risques</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gridCol w:w="100"/>
        <w:gridCol w:w="100"/>
        <w:gridCol w:w="100"/>
      </w:tblGrid>
      <w:tr>
        <w:trPr>
          <w:tblHeader/>
        </w:trPr>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Risque</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Classe feu</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Probabilité</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Gravité</w:t>
            </w:r>
          </w:p>
        </w:tc>
        <w:tc>
          <w:tcPr>
            <w:tcW w:type="pct" w:w="14%"/>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Criticité</w:t>
            </w:r>
          </w:p>
        </w:tc>
      </w:tr>
      <w:tr>
        <w:tc>
          <w:tcPr>
            <w:tcW w:type="pct" w:w="14%"/>
            <w:tcMar>
              <w:top w:type="dxa" w:w="70"/>
              <w:left w:type="dxa" w:w="110"/>
              <w:bottom w:type="dxa" w:w="70"/>
              <w:right w:type="dxa" w:w="110"/>
            </w:tcMar>
          </w:tcPr>
          <w:p>
            <w:pPr>
              <w:spacing w:after="0" w:before="0"/>
              <w:jc w:val="left"/>
            </w:pPr>
            <w:r>
              <w:rPr>
                <w:sz w:val="22"/>
                <w:szCs w:val="22"/>
              </w:rPr>
              <w:t xml:space="preserve">R01</w:t>
            </w:r>
          </w:p>
        </w:tc>
        <w:tc>
          <w:tcPr>
            <w:tcW w:type="pct" w:w="14%"/>
            <w:tcMar>
              <w:top w:type="dxa" w:w="70"/>
              <w:left w:type="dxa" w:w="110"/>
              <w:bottom w:type="dxa" w:w="70"/>
              <w:right w:type="dxa" w:w="110"/>
            </w:tcMar>
          </w:tcPr>
          <w:p>
            <w:pPr>
              <w:spacing w:after="0" w:before="0"/>
              <w:jc w:val="left"/>
            </w:pPr>
            <w:r>
              <w:rPr>
                <w:sz w:val="22"/>
                <w:szCs w:val="22"/>
              </w:rPr>
              <w:t xml:space="preserve">Atelier</w:t>
            </w:r>
          </w:p>
        </w:tc>
        <w:tc>
          <w:tcPr>
            <w:tcW w:type="pct" w:w="14%"/>
            <w:tcMar>
              <w:top w:type="dxa" w:w="70"/>
              <w:left w:type="dxa" w:w="110"/>
              <w:bottom w:type="dxa" w:w="70"/>
              <w:right w:type="dxa" w:w="110"/>
            </w:tcMar>
          </w:tcPr>
          <w:p>
            <w:pPr>
              <w:spacing w:after="0" w:before="0"/>
              <w:jc w:val="left"/>
            </w:pPr>
            <w:r>
              <w:rPr>
                <w:sz w:val="22"/>
                <w:szCs w:val="22"/>
              </w:rPr>
              <w:t xml:space="preserve">Incendie machine / échauffement</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Élevée</w:t>
            </w:r>
          </w:p>
        </w:tc>
        <w:tc>
          <w:tcPr>
            <w:tcW w:type="pct" w:w="14%"/>
            <w:tcMar>
              <w:top w:type="dxa" w:w="70"/>
              <w:left w:type="dxa" w:w="110"/>
              <w:bottom w:type="dxa" w:w="70"/>
              <w:right w:type="dxa" w:w="110"/>
            </w:tcMar>
          </w:tcPr>
          <w:p>
            <w:pPr>
              <w:spacing w:after="0" w:before="0"/>
              <w:jc w:val="left"/>
            </w:pPr>
            <w:r>
              <w:rPr>
                <w:sz w:val="22"/>
                <w:szCs w:val="22"/>
              </w:rPr>
              <w:t xml:space="preserve">Élevée</w:t>
            </w:r>
          </w:p>
        </w:tc>
        <w:tc>
          <w:tcPr>
            <w:tcW w:type="pct" w:w="14%"/>
            <w:tcMar>
              <w:top w:type="dxa" w:w="70"/>
              <w:left w:type="dxa" w:w="110"/>
              <w:bottom w:type="dxa" w:w="70"/>
              <w:right w:type="dxa" w:w="110"/>
            </w:tcMar>
          </w:tcPr>
          <w:p>
            <w:pPr>
              <w:spacing w:after="0" w:before="0"/>
              <w:jc w:val="left"/>
            </w:pPr>
            <w:r>
              <w:rPr>
                <w:sz w:val="22"/>
                <w:szCs w:val="22"/>
              </w:rPr>
              <w:t xml:space="preserve">CRITIQUE</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R02</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Atelier</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Inflammation sciures/poussières (ATEX)</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A</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Élevée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Très élevée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CRITIQUE</w:t>
            </w:r>
          </w:p>
        </w:tc>
      </w:tr>
      <w:tr>
        <w:tc>
          <w:tcPr>
            <w:tcW w:type="pct" w:w="14%"/>
            <w:tcMar>
              <w:top w:type="dxa" w:w="70"/>
              <w:left w:type="dxa" w:w="110"/>
              <w:bottom w:type="dxa" w:w="70"/>
              <w:right w:type="dxa" w:w="110"/>
            </w:tcMar>
          </w:tcPr>
          <w:p>
            <w:pPr>
              <w:spacing w:after="0" w:before="0"/>
              <w:jc w:val="left"/>
            </w:pPr>
            <w:r>
              <w:rPr>
                <w:sz w:val="22"/>
                <w:szCs w:val="22"/>
              </w:rPr>
              <w:t xml:space="preserve">R03</w:t>
            </w:r>
          </w:p>
        </w:tc>
        <w:tc>
          <w:tcPr>
            <w:tcW w:type="pct" w:w="14%"/>
            <w:tcMar>
              <w:top w:type="dxa" w:w="70"/>
              <w:left w:type="dxa" w:w="110"/>
              <w:bottom w:type="dxa" w:w="70"/>
              <w:right w:type="dxa" w:w="110"/>
            </w:tcMar>
          </w:tcPr>
          <w:p>
            <w:pPr>
              <w:spacing w:after="0" w:before="0"/>
              <w:jc w:val="left"/>
            </w:pPr>
            <w:r>
              <w:rPr>
                <w:sz w:val="22"/>
                <w:szCs w:val="22"/>
              </w:rPr>
              <w:t xml:space="preserve">Stockage</w:t>
            </w:r>
          </w:p>
        </w:tc>
        <w:tc>
          <w:tcPr>
            <w:tcW w:type="pct" w:w="14%"/>
            <w:tcMar>
              <w:top w:type="dxa" w:w="70"/>
              <w:left w:type="dxa" w:w="110"/>
              <w:bottom w:type="dxa" w:w="70"/>
              <w:right w:type="dxa" w:w="110"/>
            </w:tcMar>
          </w:tcPr>
          <w:p>
            <w:pPr>
              <w:spacing w:after="0" w:before="0"/>
              <w:jc w:val="left"/>
            </w:pPr>
            <w:r>
              <w:rPr>
                <w:sz w:val="22"/>
                <w:szCs w:val="22"/>
              </w:rPr>
              <w:t xml:space="preserve">Feu sur bois sec stocké</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Élevée</w:t>
            </w:r>
          </w:p>
        </w:tc>
        <w:tc>
          <w:tcPr>
            <w:tcW w:type="pct" w:w="14%"/>
            <w:tcMar>
              <w:top w:type="dxa" w:w="70"/>
              <w:left w:type="dxa" w:w="110"/>
              <w:bottom w:type="dxa" w:w="70"/>
              <w:right w:type="dxa" w:w="110"/>
            </w:tcMar>
          </w:tcPr>
          <w:p>
            <w:pPr>
              <w:spacing w:after="0" w:before="0"/>
              <w:jc w:val="left"/>
            </w:pPr>
            <w:r>
              <w:rPr>
                <w:sz w:val="22"/>
                <w:szCs w:val="22"/>
              </w:rPr>
              <w:t xml:space="preserve">Très élevée</w:t>
            </w:r>
          </w:p>
        </w:tc>
        <w:tc>
          <w:tcPr>
            <w:tcW w:type="pct" w:w="14%"/>
            <w:tcMar>
              <w:top w:type="dxa" w:w="70"/>
              <w:left w:type="dxa" w:w="110"/>
              <w:bottom w:type="dxa" w:w="70"/>
              <w:right w:type="dxa" w:w="110"/>
            </w:tcMar>
          </w:tcPr>
          <w:p>
            <w:pPr>
              <w:spacing w:after="0" w:before="0"/>
              <w:jc w:val="left"/>
            </w:pPr>
            <w:r>
              <w:rPr>
                <w:sz w:val="22"/>
                <w:szCs w:val="22"/>
              </w:rPr>
              <w:t xml:space="preserve">CRITIQUE</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R04</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Atelier</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Fuite et inflammation solvants/vernis</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B</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Moyenne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Élevée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ÉLEVÉE</w:t>
            </w:r>
          </w:p>
        </w:tc>
      </w:tr>
      <w:tr>
        <w:tc>
          <w:tcPr>
            <w:tcW w:type="pct" w:w="14%"/>
            <w:tcMar>
              <w:top w:type="dxa" w:w="70"/>
              <w:left w:type="dxa" w:w="110"/>
              <w:bottom w:type="dxa" w:w="70"/>
              <w:right w:type="dxa" w:w="110"/>
            </w:tcMar>
          </w:tcPr>
          <w:p>
            <w:pPr>
              <w:spacing w:after="0" w:before="0"/>
              <w:jc w:val="left"/>
            </w:pPr>
            <w:r>
              <w:rPr>
                <w:sz w:val="22"/>
                <w:szCs w:val="22"/>
              </w:rPr>
              <w:t xml:space="preserve">R05</w:t>
            </w:r>
          </w:p>
        </w:tc>
        <w:tc>
          <w:tcPr>
            <w:tcW w:type="pct" w:w="14%"/>
            <w:tcMar>
              <w:top w:type="dxa" w:w="70"/>
              <w:left w:type="dxa" w:w="110"/>
              <w:bottom w:type="dxa" w:w="70"/>
              <w:right w:type="dxa" w:w="110"/>
            </w:tcMar>
          </w:tcPr>
          <w:p>
            <w:pPr>
              <w:spacing w:after="0" w:before="0"/>
              <w:jc w:val="left"/>
            </w:pPr>
            <w:r>
              <w:rPr>
                <w:sz w:val="22"/>
                <w:szCs w:val="22"/>
              </w:rPr>
              <w:t xml:space="preserve">Poste HTA</w:t>
            </w:r>
          </w:p>
        </w:tc>
        <w:tc>
          <w:tcPr>
            <w:tcW w:type="pct" w:w="14%"/>
            <w:tcMar>
              <w:top w:type="dxa" w:w="70"/>
              <w:left w:type="dxa" w:w="110"/>
              <w:bottom w:type="dxa" w:w="70"/>
              <w:right w:type="dxa" w:w="110"/>
            </w:tcMar>
          </w:tcPr>
          <w:p>
            <w:pPr>
              <w:spacing w:after="0" w:before="0"/>
              <w:jc w:val="left"/>
            </w:pPr>
            <w:r>
              <w:rPr>
                <w:sz w:val="22"/>
                <w:szCs w:val="22"/>
              </w:rPr>
              <w:t xml:space="preserve">Défaut isolement électrique — arc</w:t>
            </w:r>
          </w:p>
        </w:tc>
        <w:tc>
          <w:tcPr>
            <w:tcW w:type="pct" w:w="14%"/>
            <w:tcMar>
              <w:top w:type="dxa" w:w="70"/>
              <w:left w:type="dxa" w:w="110"/>
              <w:bottom w:type="dxa" w:w="70"/>
              <w:right w:type="dxa" w:w="110"/>
            </w:tcMar>
          </w:tcPr>
          <w:p>
            <w:pPr>
              <w:spacing w:after="0" w:before="0"/>
              <w:jc w:val="left"/>
            </w:pPr>
            <w:r>
              <w:rPr>
                <w:sz w:val="22"/>
                <w:szCs w:val="22"/>
              </w:rPr>
              <w:t xml:space="preserve">E</w:t>
            </w:r>
          </w:p>
        </w:tc>
        <w:tc>
          <w:tcPr>
            <w:tcW w:type="pct" w:w="14%"/>
            <w:tcMar>
              <w:top w:type="dxa" w:w="70"/>
              <w:left w:type="dxa" w:w="110"/>
              <w:bottom w:type="dxa" w:w="70"/>
              <w:right w:type="dxa" w:w="110"/>
            </w:tcMar>
          </w:tcPr>
          <w:p>
            <w:pPr>
              <w:spacing w:after="0" w:before="0"/>
              <w:jc w:val="left"/>
            </w:pPr>
            <w:r>
              <w:rPr>
                <w:sz w:val="22"/>
                <w:szCs w:val="22"/>
              </w:rPr>
              <w:t xml:space="preserve">Faible</w:t>
            </w:r>
          </w:p>
        </w:tc>
        <w:tc>
          <w:tcPr>
            <w:tcW w:type="pct" w:w="14%"/>
            <w:tcMar>
              <w:top w:type="dxa" w:w="70"/>
              <w:left w:type="dxa" w:w="110"/>
              <w:bottom w:type="dxa" w:w="70"/>
              <w:right w:type="dxa" w:w="110"/>
            </w:tcMar>
          </w:tcPr>
          <w:p>
            <w:pPr>
              <w:spacing w:after="0" w:before="0"/>
              <w:jc w:val="left"/>
            </w:pPr>
            <w:r>
              <w:rPr>
                <w:sz w:val="22"/>
                <w:szCs w:val="22"/>
              </w:rPr>
              <w:t xml:space="preserve">Très élevée</w:t>
            </w:r>
          </w:p>
        </w:tc>
        <w:tc>
          <w:tcPr>
            <w:tcW w:type="pct" w:w="14%"/>
            <w:tcMar>
              <w:top w:type="dxa" w:w="70"/>
              <w:left w:type="dxa" w:w="110"/>
              <w:bottom w:type="dxa" w:w="70"/>
              <w:right w:type="dxa" w:w="110"/>
            </w:tcMar>
          </w:tcPr>
          <w:p>
            <w:pPr>
              <w:spacing w:after="0" w:before="0"/>
              <w:jc w:val="left"/>
            </w:pPr>
            <w:r>
              <w:rPr>
                <w:sz w:val="22"/>
                <w:szCs w:val="22"/>
              </w:rPr>
              <w:t xml:space="preserve">ÉLEVÉE</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R06</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TGBT</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Court-circuit / surcharge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Faible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Élevée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MODÉRÉE</w:t>
            </w:r>
          </w:p>
        </w:tc>
      </w:tr>
      <w:tr>
        <w:tc>
          <w:tcPr>
            <w:tcW w:type="pct" w:w="14%"/>
            <w:tcMar>
              <w:top w:type="dxa" w:w="70"/>
              <w:left w:type="dxa" w:w="110"/>
              <w:bottom w:type="dxa" w:w="70"/>
              <w:right w:type="dxa" w:w="110"/>
            </w:tcMar>
          </w:tcPr>
          <w:p>
            <w:pPr>
              <w:spacing w:after="0" w:before="0"/>
              <w:jc w:val="left"/>
            </w:pPr>
            <w:r>
              <w:rPr>
                <w:sz w:val="22"/>
                <w:szCs w:val="22"/>
              </w:rPr>
              <w:t xml:space="preserve">R07</w:t>
            </w:r>
          </w:p>
        </w:tc>
        <w:tc>
          <w:tcPr>
            <w:tcW w:type="pct" w:w="14%"/>
            <w:tcMar>
              <w:top w:type="dxa" w:w="70"/>
              <w:left w:type="dxa" w:w="110"/>
              <w:bottom w:type="dxa" w:w="70"/>
              <w:right w:type="dxa" w:w="110"/>
            </w:tcMar>
          </w:tcPr>
          <w:p>
            <w:pPr>
              <w:spacing w:after="0" w:before="0"/>
              <w:jc w:val="left"/>
            </w:pPr>
            <w:r>
              <w:rPr>
                <w:sz w:val="22"/>
                <w:szCs w:val="22"/>
              </w:rPr>
              <w:t xml:space="preserve">Showroom</w:t>
            </w:r>
          </w:p>
        </w:tc>
        <w:tc>
          <w:tcPr>
            <w:tcW w:type="pct" w:w="14%"/>
            <w:tcMar>
              <w:top w:type="dxa" w:w="70"/>
              <w:left w:type="dxa" w:w="110"/>
              <w:bottom w:type="dxa" w:w="70"/>
              <w:right w:type="dxa" w:w="110"/>
            </w:tcMar>
          </w:tcPr>
          <w:p>
            <w:pPr>
              <w:spacing w:after="0" w:before="0"/>
              <w:jc w:val="left"/>
            </w:pPr>
            <w:r>
              <w:rPr>
                <w:sz w:val="22"/>
                <w:szCs w:val="22"/>
              </w:rPr>
              <w:t xml:space="preserve">Feu accidentel produits exposés</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Faible</w:t>
            </w:r>
          </w:p>
        </w:tc>
        <w:tc>
          <w:tcPr>
            <w:tcW w:type="pct" w:w="14%"/>
            <w:tcMar>
              <w:top w:type="dxa" w:w="70"/>
              <w:left w:type="dxa" w:w="110"/>
              <w:bottom w:type="dxa" w:w="70"/>
              <w:right w:type="dxa" w:w="110"/>
            </w:tcMar>
          </w:tcPr>
          <w:p>
            <w:pPr>
              <w:spacing w:after="0" w:before="0"/>
              <w:jc w:val="left"/>
            </w:pPr>
            <w:r>
              <w:rPr>
                <w:sz w:val="22"/>
                <w:szCs w:val="22"/>
              </w:rPr>
              <w:t xml:space="preserve">Moyenne</w:t>
            </w:r>
          </w:p>
        </w:tc>
        <w:tc>
          <w:tcPr>
            <w:tcW w:type="pct" w:w="14%"/>
            <w:tcMar>
              <w:top w:type="dxa" w:w="70"/>
              <w:left w:type="dxa" w:w="110"/>
              <w:bottom w:type="dxa" w:w="70"/>
              <w:right w:type="dxa" w:w="110"/>
            </w:tcMar>
          </w:tcPr>
          <w:p>
            <w:pPr>
              <w:spacing w:after="0" w:before="0"/>
              <w:jc w:val="left"/>
            </w:pPr>
            <w:r>
              <w:rPr>
                <w:sz w:val="22"/>
                <w:szCs w:val="22"/>
              </w:rPr>
              <w:t xml:space="preserve">MODÉRÉE</w:t>
            </w:r>
          </w:p>
        </w:tc>
      </w:tr>
      <w:tr>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R08</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Bureaux</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Feu matériel informatique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E/A</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Très faible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Faible</w:t>
            </w:r>
          </w:p>
        </w:tc>
        <w:tc>
          <w:tcPr>
            <w:tcW w:type="pct" w:w="14%"/>
            <w:shd w:fill="FAF7F2" w:color="auto" w:val="clear"/>
            <w:tcMar>
              <w:top w:type="dxa" w:w="70"/>
              <w:left w:type="dxa" w:w="110"/>
              <w:bottom w:type="dxa" w:w="70"/>
              <w:right w:type="dxa" w:w="110"/>
            </w:tcMar>
          </w:tcPr>
          <w:p>
            <w:pPr>
              <w:spacing w:after="0" w:before="0"/>
              <w:jc w:val="left"/>
            </w:pPr>
            <w:r>
              <w:rPr>
                <w:sz w:val="22"/>
                <w:szCs w:val="22"/>
              </w:rPr>
              <w:t xml:space="preserve">FAIBLE</w:t>
            </w:r>
          </w:p>
        </w:tc>
      </w:tr>
      <w:tr>
        <w:tc>
          <w:tcPr>
            <w:tcW w:type="pct" w:w="14%"/>
            <w:tcMar>
              <w:top w:type="dxa" w:w="70"/>
              <w:left w:type="dxa" w:w="110"/>
              <w:bottom w:type="dxa" w:w="70"/>
              <w:right w:type="dxa" w:w="110"/>
            </w:tcMar>
          </w:tcPr>
          <w:p>
            <w:pPr>
              <w:spacing w:after="0" w:before="0"/>
              <w:jc w:val="left"/>
            </w:pPr>
            <w:r>
              <w:rPr>
                <w:sz w:val="22"/>
                <w:szCs w:val="22"/>
              </w:rPr>
              <w:t xml:space="preserve">R09</w:t>
            </w:r>
          </w:p>
        </w:tc>
        <w:tc>
          <w:tcPr>
            <w:tcW w:type="pct" w:w="14%"/>
            <w:tcMar>
              <w:top w:type="dxa" w:w="70"/>
              <w:left w:type="dxa" w:w="110"/>
              <w:bottom w:type="dxa" w:w="70"/>
              <w:right w:type="dxa" w:w="110"/>
            </w:tcMar>
          </w:tcPr>
          <w:p>
            <w:pPr>
              <w:spacing w:after="0" w:before="0"/>
              <w:jc w:val="left"/>
            </w:pPr>
            <w:r>
              <w:rPr>
                <w:sz w:val="22"/>
                <w:szCs w:val="22"/>
              </w:rPr>
              <w:t xml:space="preserve">Périmètre</w:t>
            </w:r>
          </w:p>
        </w:tc>
        <w:tc>
          <w:tcPr>
            <w:tcW w:type="pct" w:w="14%"/>
            <w:tcMar>
              <w:top w:type="dxa" w:w="70"/>
              <w:left w:type="dxa" w:w="110"/>
              <w:bottom w:type="dxa" w:w="70"/>
              <w:right w:type="dxa" w:w="110"/>
            </w:tcMar>
          </w:tcPr>
          <w:p>
            <w:pPr>
              <w:spacing w:after="0" w:before="0"/>
              <w:jc w:val="left"/>
            </w:pPr>
            <w:r>
              <w:rPr>
                <w:sz w:val="22"/>
                <w:szCs w:val="22"/>
              </w:rPr>
              <w:t xml:space="preserve">Malveillance — incendie volontaire</w:t>
            </w:r>
          </w:p>
        </w:tc>
        <w:tc>
          <w:tcPr>
            <w:tcW w:type="pct" w:w="14%"/>
            <w:tcMar>
              <w:top w:type="dxa" w:w="70"/>
              <w:left w:type="dxa" w:w="110"/>
              <w:bottom w:type="dxa" w:w="70"/>
              <w:right w:type="dxa" w:w="110"/>
            </w:tcMar>
          </w:tcPr>
          <w:p>
            <w:pPr>
              <w:spacing w:after="0" w:before="0"/>
              <w:jc w:val="left"/>
            </w:pPr>
            <w:r>
              <w:rPr>
                <w:sz w:val="22"/>
                <w:szCs w:val="22"/>
              </w:rPr>
              <w:t xml:space="preserve">A</w:t>
            </w:r>
          </w:p>
        </w:tc>
        <w:tc>
          <w:tcPr>
            <w:tcW w:type="pct" w:w="14%"/>
            <w:tcMar>
              <w:top w:type="dxa" w:w="70"/>
              <w:left w:type="dxa" w:w="110"/>
              <w:bottom w:type="dxa" w:w="70"/>
              <w:right w:type="dxa" w:w="110"/>
            </w:tcMar>
          </w:tcPr>
          <w:p>
            <w:pPr>
              <w:spacing w:after="0" w:before="0"/>
              <w:jc w:val="left"/>
            </w:pPr>
            <w:r>
              <w:rPr>
                <w:sz w:val="22"/>
                <w:szCs w:val="22"/>
              </w:rPr>
              <w:t xml:space="preserve">Faible</w:t>
            </w:r>
          </w:p>
        </w:tc>
        <w:tc>
          <w:tcPr>
            <w:tcW w:type="pct" w:w="14%"/>
            <w:tcMar>
              <w:top w:type="dxa" w:w="70"/>
              <w:left w:type="dxa" w:w="110"/>
              <w:bottom w:type="dxa" w:w="70"/>
              <w:right w:type="dxa" w:w="110"/>
            </w:tcMar>
          </w:tcPr>
          <w:p>
            <w:pPr>
              <w:spacing w:after="0" w:before="0"/>
              <w:jc w:val="left"/>
            </w:pPr>
            <w:r>
              <w:rPr>
                <w:sz w:val="22"/>
                <w:szCs w:val="22"/>
              </w:rPr>
              <w:t xml:space="preserve">Très élevée</w:t>
            </w:r>
          </w:p>
        </w:tc>
        <w:tc>
          <w:tcPr>
            <w:tcW w:type="pct" w:w="14%"/>
            <w:tcMar>
              <w:top w:type="dxa" w:w="70"/>
              <w:left w:type="dxa" w:w="110"/>
              <w:bottom w:type="dxa" w:w="70"/>
              <w:right w:type="dxa" w:w="110"/>
            </w:tcMar>
          </w:tcPr>
          <w:p>
            <w:pPr>
              <w:spacing w:after="0" w:before="0"/>
              <w:jc w:val="left"/>
            </w:pPr>
            <w:r>
              <w:rPr>
                <w:sz w:val="22"/>
                <w:szCs w:val="22"/>
              </w:rPr>
              <w:t xml:space="preserve">ÉLEVÉE</w:t>
            </w:r>
          </w:p>
        </w:tc>
      </w:tr>
    </w:tbl>
    <w:p/>
    <w:p/>
    <w:p>
      <w:pPr>
        <w:pBdr>
          <w:bottom w:val="single" w:color="E5E1D8" w:sz="6" w:space="1"/>
        </w:pBdr>
        <w:spacing w:after="120" w:before="120"/>
      </w:pPr>
      <w:r>
        <w:t xml:space="preserve"/>
      </w:r>
    </w:p>
    <w:p/>
    <w:p>
      <w:pPr>
        <w:pStyle w:val="Heading3"/>
      </w:pPr>
      <w:bookmarkStart w:name="nexia_h_39" w:id="1"/>
      <w:r>
        <w:rPr>
          <w:b/>
          <w:bCs/>
        </w:rPr>
        <w:t xml:space="preserve">1.3.3.  </w:t>
      </w:r>
      <w:r>
        <w:t xml:space="preserve">SCHÉMA 1 — MATRICE DE CRITICITÉ DES RISQUES</w:t>
      </w:r>
      <w:bookmarkEnd w:id="1"/>
    </w:p>
    <w:p/>
    <w:p>
      <w:pPr>
        <w:spacing w:after="120" w:line="320"/>
        <w:jc w:val="both"/>
      </w:pPr>
      <w:r>
        <w:t xml:space="preserve">La matrice ci-dessous visualise les 9 risques identifiés selon leur probabilité d'occurrence (axe vertical) et leur gravité potentielle (axe horizontal). Les zones rouges exigent un traitement immédiat.</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Matrice de criticité des risques — Atelier portes Ngoundiane</w:t>
      </w:r>
    </w:p>
    <w:p/>
    <w:p>
      <w:pPr>
        <w:spacing w:after="120" w:line="320"/>
        <w:jc w:val="both"/>
      </w:pPr>
      <w:r>
        <w:rPr>
          <w:b/>
          <w:bCs/>
        </w:rPr>
        <w:t xml:space="preserve">Lecture :</w:t>
      </w:r>
      <w:r>
        <w:t xml:space="preserve"> R01, R02, R03 (rouge foncé) constituent les risques CRITIQUES à traiter en priorité absolue. R09 (malveillance) et R04 (solvants) sont en zone élevée.</w:t>
      </w:r>
    </w:p>
    <w:p/>
    <w:p>
      <w:pPr>
        <w:pBdr>
          <w:bottom w:val="single" w:color="E5E1D8" w:sz="6" w:space="1"/>
        </w:pBdr>
        <w:spacing w:after="120" w:before="120"/>
      </w:pPr>
      <w:r>
        <w:t xml:space="preserve"/>
      </w:r>
    </w:p>
    <w:p/>
    <w:p>
      <w:pPr>
        <w:pStyle w:val="Heading2"/>
      </w:pPr>
      <w:bookmarkStart w:name="nexia_h_49" w:id="1"/>
      <w:r>
        <w:rPr>
          <w:b/>
          <w:bCs/>
        </w:rPr>
        <w:t xml:space="preserve">1.4.  </w:t>
      </w:r>
      <w:r>
        <w:t xml:space="preserve">Prévention des Incendies</w:t>
      </w:r>
      <w:bookmarkEnd w:id="1"/>
    </w:p>
    <w:p/>
    <w:p>
      <w:pPr>
        <w:pStyle w:val="Heading3"/>
      </w:pPr>
      <w:bookmarkStart w:name="nexia_h_51" w:id="1"/>
      <w:r>
        <w:rPr>
          <w:b/>
          <w:bCs/>
        </w:rPr>
        <w:t xml:space="preserve">1.4.1.  </w:t>
      </w:r>
      <w:r>
        <w:t xml:space="preserve">Résistance au feu des éléments de construction</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Élément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Exigence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Justification</w:t>
            </w:r>
          </w:p>
        </w:tc>
      </w:tr>
      <w:tr>
        <w:tc>
          <w:tcPr>
            <w:tcW w:type="pct" w:w="33%"/>
            <w:tcMar>
              <w:top w:type="dxa" w:w="70"/>
              <w:left w:type="dxa" w:w="110"/>
              <w:bottom w:type="dxa" w:w="70"/>
              <w:right w:type="dxa" w:w="110"/>
            </w:tcMar>
          </w:tcPr>
          <w:p>
            <w:pPr>
              <w:spacing w:after="0" w:before="0"/>
              <w:jc w:val="left"/>
            </w:pPr>
            <w:r>
              <w:rPr>
                <w:sz w:val="22"/>
                <w:szCs w:val="22"/>
              </w:rPr>
              <w:t xml:space="preserve">Murs façade atelier</w:t>
            </w:r>
          </w:p>
        </w:tc>
        <w:tc>
          <w:tcPr>
            <w:tcW w:type="pct" w:w="33%"/>
            <w:tcMar>
              <w:top w:type="dxa" w:w="70"/>
              <w:left w:type="dxa" w:w="110"/>
              <w:bottom w:type="dxa" w:w="70"/>
              <w:right w:type="dxa" w:w="110"/>
            </w:tcMar>
          </w:tcPr>
          <w:p>
            <w:pPr>
              <w:spacing w:after="0" w:before="0"/>
              <w:jc w:val="left"/>
            </w:pPr>
            <w:r>
              <w:rPr>
                <w:sz w:val="22"/>
                <w:szCs w:val="22"/>
              </w:rPr>
              <w:t xml:space="preserve">REI 60</w:t>
            </w:r>
          </w:p>
        </w:tc>
        <w:tc>
          <w:tcPr>
            <w:tcW w:type="pct" w:w="33%"/>
            <w:tcMar>
              <w:top w:type="dxa" w:w="70"/>
              <w:left w:type="dxa" w:w="110"/>
              <w:bottom w:type="dxa" w:w="70"/>
              <w:right w:type="dxa" w:w="110"/>
            </w:tcMar>
          </w:tcPr>
          <w:p>
            <w:pPr>
              <w:spacing w:after="0" w:before="0"/>
              <w:jc w:val="left"/>
            </w:pPr>
            <w:r>
              <w:rPr>
                <w:sz w:val="22"/>
                <w:szCs w:val="22"/>
              </w:rPr>
              <w:t xml:space="preserve">Charge calorifique élevée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Mur séparatif atelier/showroom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REI 120</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Séparation zones distinctes</w:t>
            </w:r>
          </w:p>
        </w:tc>
      </w:tr>
      <w:tr>
        <w:tc>
          <w:tcPr>
            <w:tcW w:type="pct" w:w="33%"/>
            <w:tcMar>
              <w:top w:type="dxa" w:w="70"/>
              <w:left w:type="dxa" w:w="110"/>
              <w:bottom w:type="dxa" w:w="70"/>
              <w:right w:type="dxa" w:w="110"/>
            </w:tcMar>
          </w:tcPr>
          <w:p>
            <w:pPr>
              <w:spacing w:after="0" w:before="0"/>
              <w:jc w:val="left"/>
            </w:pPr>
            <w:r>
              <w:rPr>
                <w:sz w:val="22"/>
                <w:szCs w:val="22"/>
              </w:rPr>
              <w:t xml:space="preserve">Mur séparatif atelier/poste HTA</w:t>
            </w:r>
          </w:p>
        </w:tc>
        <w:tc>
          <w:tcPr>
            <w:tcW w:type="pct" w:w="33%"/>
            <w:tcMar>
              <w:top w:type="dxa" w:w="70"/>
              <w:left w:type="dxa" w:w="110"/>
              <w:bottom w:type="dxa" w:w="70"/>
              <w:right w:type="dxa" w:w="110"/>
            </w:tcMar>
          </w:tcPr>
          <w:p>
            <w:pPr>
              <w:spacing w:after="0" w:before="0"/>
              <w:jc w:val="left"/>
            </w:pPr>
            <w:r>
              <w:rPr>
                <w:sz w:val="22"/>
                <w:szCs w:val="22"/>
              </w:rPr>
              <w:t xml:space="preserve">REI 120</w:t>
            </w:r>
          </w:p>
        </w:tc>
        <w:tc>
          <w:tcPr>
            <w:tcW w:type="pct" w:w="33%"/>
            <w:tcMar>
              <w:top w:type="dxa" w:w="70"/>
              <w:left w:type="dxa" w:w="110"/>
              <w:bottom w:type="dxa" w:w="70"/>
              <w:right w:type="dxa" w:w="110"/>
            </w:tcMar>
          </w:tcPr>
          <w:p>
            <w:pPr>
              <w:spacing w:after="0" w:before="0"/>
              <w:jc w:val="left"/>
            </w:pPr>
            <w:r>
              <w:rPr>
                <w:sz w:val="22"/>
                <w:szCs w:val="22"/>
              </w:rPr>
              <w:t xml:space="preserve">Local électrique HTA</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Porte atelier/showroom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EI 60 + ferme-porte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Coupe-feu</w:t>
            </w:r>
          </w:p>
        </w:tc>
      </w:tr>
      <w:tr>
        <w:tc>
          <w:tcPr>
            <w:tcW w:type="pct" w:w="33%"/>
            <w:tcMar>
              <w:top w:type="dxa" w:w="70"/>
              <w:left w:type="dxa" w:w="110"/>
              <w:bottom w:type="dxa" w:w="70"/>
              <w:right w:type="dxa" w:w="110"/>
            </w:tcMar>
          </w:tcPr>
          <w:p>
            <w:pPr>
              <w:spacing w:after="0" w:before="0"/>
              <w:jc w:val="left"/>
            </w:pPr>
            <w:r>
              <w:rPr>
                <w:sz w:val="22"/>
                <w:szCs w:val="22"/>
              </w:rPr>
              <w:t xml:space="preserve">Porte poste HTA</w:t>
            </w:r>
          </w:p>
        </w:tc>
        <w:tc>
          <w:tcPr>
            <w:tcW w:type="pct" w:w="33%"/>
            <w:tcMar>
              <w:top w:type="dxa" w:w="70"/>
              <w:left w:type="dxa" w:w="110"/>
              <w:bottom w:type="dxa" w:w="70"/>
              <w:right w:type="dxa" w:w="110"/>
            </w:tcMar>
          </w:tcPr>
          <w:p>
            <w:pPr>
              <w:spacing w:after="0" w:before="0"/>
              <w:jc w:val="left"/>
            </w:pPr>
            <w:r>
              <w:rPr>
                <w:sz w:val="22"/>
                <w:szCs w:val="22"/>
              </w:rPr>
              <w:t xml:space="preserve">EI 60 + ferme-porte</w:t>
            </w:r>
          </w:p>
        </w:tc>
        <w:tc>
          <w:tcPr>
            <w:tcW w:type="pct" w:w="33%"/>
            <w:tcMar>
              <w:top w:type="dxa" w:w="70"/>
              <w:left w:type="dxa" w:w="110"/>
              <w:bottom w:type="dxa" w:w="70"/>
              <w:right w:type="dxa" w:w="110"/>
            </w:tcMar>
          </w:tcPr>
          <w:p>
            <w:pPr>
              <w:spacing w:after="0" w:before="0"/>
              <w:jc w:val="left"/>
            </w:pPr>
            <w:r>
              <w:rPr>
                <w:sz w:val="22"/>
                <w:szCs w:val="22"/>
              </w:rPr>
              <w:t xml:space="preserve">Local électrique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Toiture atelier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REI 30 minimum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Structure protégée</w:t>
            </w:r>
          </w:p>
        </w:tc>
      </w:tr>
    </w:tbl>
    <w:p/>
    <w:p/>
    <w:p>
      <w:pPr>
        <w:pStyle w:val="Heading3"/>
      </w:pPr>
      <w:bookmarkStart w:name="nexia_h_55" w:id="1"/>
      <w:r>
        <w:rPr>
          <w:b/>
          <w:bCs/>
        </w:rPr>
        <w:t xml:space="preserve">1.4.2.  </w:t>
      </w:r>
      <w:r>
        <w:t xml:space="preserve">Charges calorifiques</w:t>
      </w:r>
      <w:bookmarkEnd w:id="1"/>
    </w:p>
    <w:p/>
    <w:p>
      <w:pPr>
        <w:spacing w:after="120" w:line="320"/>
        <w:jc w:val="both"/>
      </w:pPr>
      <w:r>
        <w:t xml:space="preserve">Q_c = (Σ m_i × H_i)/(A_local) = (58 662)/400 = 146,7 MJ/m²</w:t>
      </w:r>
    </w:p>
    <w:p/>
    <w:p>
      <w:pPr>
        <w:spacing w:after="120" w:line="320"/>
        <w:jc w:val="both"/>
      </w:pPr>
      <w:r>
        <w:t xml:space="preserve">où :</w:t>
      </w:r>
    </w:p>
    <w:p>
      <w:pPr>
        <w:pStyle w:val="ListParagraph"/>
        <w:numPr>
          <w:ilvl w:val="0"/>
          <w:numId w:val="1"/>
        </w:numPr>
        <w:spacing w:line="300"/>
      </w:pPr>
      <w:r>
        <w:t xml:space="preserve">m_i — masse du combustible i, en kg</w:t>
      </w:r>
    </w:p>
    <w:p>
      <w:pPr>
        <w:pStyle w:val="ListParagraph"/>
        <w:numPr>
          <w:ilvl w:val="0"/>
          <w:numId w:val="1"/>
        </w:numPr>
        <w:spacing w:line="300"/>
      </w:pPr>
      <w:r>
        <w:t xml:space="preserve">H_i — pouvoir calorifique inférieur du matériau i, en MJ/kg</w:t>
      </w:r>
    </w:p>
    <w:p>
      <w:pPr>
        <w:pStyle w:val="ListParagraph"/>
        <w:numPr>
          <w:ilvl w:val="0"/>
          <w:numId w:val="1"/>
        </w:numPr>
        <w:spacing w:line="300"/>
      </w:pPr>
      <w:r>
        <w:t xml:space="preserve">A_local — surface du local, en m²</w:t>
      </w:r>
    </w:p>
    <w:p/>
    <w:p>
      <w:pPr>
        <w:spacing w:after="120" w:line="320"/>
        <w:jc w:val="both"/>
      </w:pPr>
      <w:r>
        <w:rPr>
          <w:b/>
          <w:bCs/>
        </w:rPr>
        <w:t xml:space="preserve">→ Risque ÉLEVÉ</w:t>
      </w:r>
      <w:r>
        <w:t xml:space="preserve"> (seuil « risque important » = 150 MJ/m²) — justifie l'ensemble des dispositions renforcées.</w:t>
      </w:r>
    </w:p>
    <w:p/>
    <w:p>
      <w:pPr>
        <w:pStyle w:val="Heading3"/>
      </w:pPr>
      <w:bookmarkStart w:name="nexia_h_66" w:id="1"/>
      <w:r>
        <w:rPr>
          <w:b/>
          <w:bCs/>
        </w:rPr>
        <w:t xml:space="preserve">1.4.3.  </w:t>
      </w:r>
      <w:r>
        <w:t xml:space="preserve">Interdictions permanentes (affichage obligatoire)</w:t>
      </w:r>
      <w:bookmarkEnd w:id="1"/>
    </w:p>
    <w:p/>
    <w:p>
      <w:pPr>
        <w:spacing w:after="120" w:line="320"/>
        <w:jc w:val="both"/>
      </w:pPr>
      <w:r>
        <w:t xml:space="preserve">🚫 Fumer, flamme nue, appareil à incandescence · Chauffage portatif non homologué · Chiffons solvantés à l'air libre · Obstruction des issues · Stockage bois à &lt; 1 m d'un tableau électrique · Travaux points chauds sans permis de feu signé.</w:t>
      </w:r>
    </w:p>
    <w:p/>
    <w:p>
      <w:pPr>
        <w:pBdr>
          <w:bottom w:val="single" w:color="E5E1D8" w:sz="6" w:space="1"/>
        </w:pBdr>
        <w:spacing w:after="120" w:before="120"/>
      </w:pPr>
      <w:r>
        <w:t xml:space="preserve"/>
      </w:r>
    </w:p>
    <w:p/>
    <w:p>
      <w:pPr>
        <w:pStyle w:val="Heading2"/>
      </w:pPr>
      <w:bookmarkStart w:name="nexia_h_72" w:id="1"/>
      <w:r>
        <w:rPr>
          <w:b/>
          <w:bCs/>
        </w:rPr>
        <w:t xml:space="preserve">1.5.  </w:t>
      </w:r>
      <w:r>
        <w:t xml:space="preserve">Détection Automatique d'Incendie</w:t>
      </w:r>
      <w:bookmarkEnd w:id="1"/>
    </w:p>
    <w:p/>
    <w:p>
      <w:pPr>
        <w:pStyle w:val="Heading3"/>
      </w:pPr>
      <w:bookmarkStart w:name="nexia_h_74" w:id="1"/>
      <w:r>
        <w:rPr>
          <w:b/>
          <w:bCs/>
        </w:rPr>
        <w:t xml:space="preserve">1.5.1.  </w:t>
      </w:r>
      <w:r>
        <w:t xml:space="preserve">SSI de catégorie A retenu</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Composant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Type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Norme</w:t>
            </w:r>
          </w:p>
        </w:tc>
      </w:tr>
      <w:tr>
        <w:tc>
          <w:tcPr>
            <w:tcW w:type="pct" w:w="33%"/>
            <w:tcMar>
              <w:top w:type="dxa" w:w="70"/>
              <w:left w:type="dxa" w:w="110"/>
              <w:bottom w:type="dxa" w:w="70"/>
              <w:right w:type="dxa" w:w="110"/>
            </w:tcMar>
          </w:tcPr>
          <w:p>
            <w:pPr>
              <w:spacing w:after="0" w:before="0"/>
              <w:jc w:val="left"/>
            </w:pPr>
            <w:r>
              <w:rPr>
                <w:sz w:val="22"/>
                <w:szCs w:val="22"/>
              </w:rPr>
              <w:t xml:space="preserve">Centrale de détection (CDI)</w:t>
            </w:r>
          </w:p>
        </w:tc>
        <w:tc>
          <w:tcPr>
            <w:tcW w:type="pct" w:w="33%"/>
            <w:tcMar>
              <w:top w:type="dxa" w:w="70"/>
              <w:left w:type="dxa" w:w="110"/>
              <w:bottom w:type="dxa" w:w="70"/>
              <w:right w:type="dxa" w:w="110"/>
            </w:tcMar>
          </w:tcPr>
          <w:p>
            <w:pPr>
              <w:spacing w:after="0" w:before="0"/>
              <w:jc w:val="left"/>
            </w:pPr>
            <w:r>
              <w:rPr>
                <w:sz w:val="22"/>
                <w:szCs w:val="22"/>
              </w:rPr>
              <w:t xml:space="preserve">Adressable 4 boucles — 128 points</w:t>
            </w:r>
          </w:p>
        </w:tc>
        <w:tc>
          <w:tcPr>
            <w:tcW w:type="pct" w:w="33%"/>
            <w:tcMar>
              <w:top w:type="dxa" w:w="70"/>
              <w:left w:type="dxa" w:w="110"/>
              <w:bottom w:type="dxa" w:w="70"/>
              <w:right w:type="dxa" w:w="110"/>
            </w:tcMar>
          </w:tcPr>
          <w:p>
            <w:pPr>
              <w:spacing w:after="0" w:before="0"/>
              <w:jc w:val="left"/>
            </w:pPr>
            <w:r>
              <w:rPr>
                <w:sz w:val="22"/>
                <w:szCs w:val="22"/>
              </w:rPr>
              <w:t xml:space="preserve">NF EN 54-2</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Détecteurs atelier</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Multipoint chaleur + fumée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54-5/7</w:t>
            </w:r>
          </w:p>
        </w:tc>
      </w:tr>
      <w:tr>
        <w:tc>
          <w:tcPr>
            <w:tcW w:type="pct" w:w="33%"/>
            <w:tcMar>
              <w:top w:type="dxa" w:w="70"/>
              <w:left w:type="dxa" w:w="110"/>
              <w:bottom w:type="dxa" w:w="70"/>
              <w:right w:type="dxa" w:w="110"/>
            </w:tcMar>
          </w:tcPr>
          <w:p>
            <w:pPr>
              <w:spacing w:after="0" w:before="0"/>
              <w:jc w:val="left"/>
            </w:pPr>
            <w:r>
              <w:rPr>
                <w:sz w:val="22"/>
                <w:szCs w:val="22"/>
              </w:rPr>
              <w:t xml:space="preserve">Détecteurs showroom/bureaux</w:t>
            </w:r>
          </w:p>
        </w:tc>
        <w:tc>
          <w:tcPr>
            <w:tcW w:type="pct" w:w="33%"/>
            <w:tcMar>
              <w:top w:type="dxa" w:w="70"/>
              <w:left w:type="dxa" w:w="110"/>
              <w:bottom w:type="dxa" w:w="70"/>
              <w:right w:type="dxa" w:w="110"/>
            </w:tcMar>
          </w:tcPr>
          <w:p>
            <w:pPr>
              <w:spacing w:after="0" w:before="0"/>
              <w:jc w:val="left"/>
            </w:pPr>
            <w:r>
              <w:rPr>
                <w:sz w:val="22"/>
                <w:szCs w:val="22"/>
              </w:rPr>
              <w:t xml:space="preserve">Optique fumée</w:t>
            </w:r>
          </w:p>
        </w:tc>
        <w:tc>
          <w:tcPr>
            <w:tcW w:type="pct" w:w="33%"/>
            <w:tcMar>
              <w:top w:type="dxa" w:w="70"/>
              <w:left w:type="dxa" w:w="110"/>
              <w:bottom w:type="dxa" w:w="70"/>
              <w:right w:type="dxa" w:w="110"/>
            </w:tcMar>
          </w:tcPr>
          <w:p>
            <w:pPr>
              <w:spacing w:after="0" w:before="0"/>
              <w:jc w:val="left"/>
            </w:pPr>
            <w:r>
              <w:rPr>
                <w:sz w:val="22"/>
                <w:szCs w:val="22"/>
              </w:rPr>
              <w:t xml:space="preserve">NF EN 54-7</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Détecteurs zone vernissage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Détecteur gaz solvants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54-26</w:t>
            </w:r>
          </w:p>
        </w:tc>
      </w:tr>
      <w:tr>
        <w:tc>
          <w:tcPr>
            <w:tcW w:type="pct" w:w="33%"/>
            <w:tcMar>
              <w:top w:type="dxa" w:w="70"/>
              <w:left w:type="dxa" w:w="110"/>
              <w:bottom w:type="dxa" w:w="70"/>
              <w:right w:type="dxa" w:w="110"/>
            </w:tcMar>
          </w:tcPr>
          <w:p>
            <w:pPr>
              <w:spacing w:after="0" w:before="0"/>
              <w:jc w:val="left"/>
            </w:pPr>
            <w:r>
              <w:rPr>
                <w:sz w:val="22"/>
                <w:szCs w:val="22"/>
              </w:rPr>
              <w:t xml:space="preserve">Déclencheurs manuels (DM)</w:t>
            </w:r>
          </w:p>
        </w:tc>
        <w:tc>
          <w:tcPr>
            <w:tcW w:type="pct" w:w="33%"/>
            <w:tcMar>
              <w:top w:type="dxa" w:w="70"/>
              <w:left w:type="dxa" w:w="110"/>
              <w:bottom w:type="dxa" w:w="70"/>
              <w:right w:type="dxa" w:w="110"/>
            </w:tcMar>
          </w:tcPr>
          <w:p>
            <w:pPr>
              <w:spacing w:after="0" w:before="0"/>
              <w:jc w:val="left"/>
            </w:pPr>
            <w:r>
              <w:rPr>
                <w:sz w:val="22"/>
                <w:szCs w:val="22"/>
              </w:rPr>
              <w:t xml:space="preserve">Bris de glace rouge</w:t>
            </w:r>
          </w:p>
        </w:tc>
        <w:tc>
          <w:tcPr>
            <w:tcW w:type="pct" w:w="33%"/>
            <w:tcMar>
              <w:top w:type="dxa" w:w="70"/>
              <w:left w:type="dxa" w:w="110"/>
              <w:bottom w:type="dxa" w:w="70"/>
              <w:right w:type="dxa" w:w="110"/>
            </w:tcMar>
          </w:tcPr>
          <w:p>
            <w:pPr>
              <w:spacing w:after="0" w:before="0"/>
              <w:jc w:val="left"/>
            </w:pPr>
            <w:r>
              <w:rPr>
                <w:sz w:val="22"/>
                <w:szCs w:val="22"/>
              </w:rPr>
              <w:t xml:space="preserve">NF EN 54-11</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Diffuseurs sonores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Sirène 90 dB(A)</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NF EN 54-3</w:t>
            </w:r>
          </w:p>
        </w:tc>
      </w:tr>
      <w:tr>
        <w:tc>
          <w:tcPr>
            <w:tcW w:type="pct" w:w="33%"/>
            <w:tcMar>
              <w:top w:type="dxa" w:w="70"/>
              <w:left w:type="dxa" w:w="110"/>
              <w:bottom w:type="dxa" w:w="70"/>
              <w:right w:type="dxa" w:w="110"/>
            </w:tcMar>
          </w:tcPr>
          <w:p>
            <w:pPr>
              <w:spacing w:after="0" w:before="0"/>
              <w:jc w:val="left"/>
            </w:pPr>
            <w:r>
              <w:rPr>
                <w:sz w:val="22"/>
                <w:szCs w:val="22"/>
              </w:rPr>
              <w:t xml:space="preserve">SMSI</w:t>
            </w:r>
          </w:p>
        </w:tc>
        <w:tc>
          <w:tcPr>
            <w:tcW w:type="pct" w:w="33%"/>
            <w:tcMar>
              <w:top w:type="dxa" w:w="70"/>
              <w:left w:type="dxa" w:w="110"/>
              <w:bottom w:type="dxa" w:w="70"/>
              <w:right w:type="dxa" w:w="110"/>
            </w:tcMar>
          </w:tcPr>
          <w:p>
            <w:pPr>
              <w:spacing w:after="0" w:before="0"/>
              <w:jc w:val="left"/>
            </w:pPr>
            <w:r>
              <w:rPr>
                <w:sz w:val="22"/>
                <w:szCs w:val="22"/>
              </w:rPr>
              <w:t xml:space="preserve">Commande désenfumage + CF</w:t>
            </w:r>
          </w:p>
        </w:tc>
        <w:tc>
          <w:tcPr>
            <w:tcW w:type="pct" w:w="33%"/>
            <w:tcMar>
              <w:top w:type="dxa" w:w="70"/>
              <w:left w:type="dxa" w:w="110"/>
              <w:bottom w:type="dxa" w:w="70"/>
              <w:right w:type="dxa" w:w="110"/>
            </w:tcMar>
          </w:tcPr>
          <w:p>
            <w:pPr>
              <w:spacing w:after="0" w:before="0"/>
              <w:jc w:val="left"/>
            </w:pPr>
            <w:r>
              <w:rPr>
                <w:sz w:val="22"/>
                <w:szCs w:val="22"/>
              </w:rPr>
              <w:t xml:space="preserve">NF S 61-937</w:t>
            </w:r>
          </w:p>
        </w:tc>
      </w:tr>
    </w:tbl>
    <w:p/>
    <w:p/>
    <w:p>
      <w:pPr>
        <w:pStyle w:val="Heading3"/>
      </w:pPr>
      <w:bookmarkStart w:name="nexia_h_78" w:id="1"/>
      <w:r>
        <w:rPr>
          <w:b/>
          <w:bCs/>
        </w:rPr>
        <w:t xml:space="preserve">1.5.2.  </w:t>
      </w:r>
      <w:r>
        <w:t xml:space="preserve">Calcul du nombre de détecteurs — Atelier</w:t>
      </w:r>
      <w:bookmarkEnd w:id="1"/>
    </w:p>
    <w:p/>
    <w:p>
      <w:pPr>
        <w:spacing w:after="120" w:line="320"/>
        <w:jc w:val="both"/>
      </w:pPr>
      <w:r>
        <w:t xml:space="preserve">Selon </w:t>
      </w:r>
      <w:r>
        <w:rPr>
          <w:rFonts w:ascii="Courier New" w:cs="Courier New" w:eastAsia="Courier New" w:hAnsi="Courier New"/>
        </w:rPr>
        <w:t xml:space="preserve">NF S 61-919</w:t>
      </w:r>
      <w:r>
        <w:t xml:space="preserve">, espacement maximal entre détecteurs ponctuels :</w:t>
      </w:r>
    </w:p>
    <w:p/>
    <w:p>
      <w:pPr>
        <w:spacing w:after="120" w:line="320"/>
        <w:jc w:val="both"/>
      </w:pPr>
      <w:r>
        <w:t xml:space="preserve">Espacement max = r_couverture × √(2) = 6,7 × 1,414 = 9,47 m</w:t>
      </w:r>
    </w:p>
    <w:p/>
    <w:p>
      <w:pPr>
        <w:spacing w:after="120" w:line="320"/>
        <w:jc w:val="both"/>
      </w:pPr>
      <w:r>
        <w:t xml:space="preserve">N_atelier = \lceil20/(9,47)\rceil² = 3² = 9 détecteurs en grille 3 × 3</w:t>
      </w:r>
    </w:p>
    <w:p/>
    <w:p>
      <w:pPr>
        <w:spacing w:after="120" w:line="320"/>
        <w:jc w:val="both"/>
      </w:pPr>
      <w:r>
        <w:t xml:space="preserve">où :</w:t>
      </w:r>
    </w:p>
    <w:p>
      <w:pPr>
        <w:pStyle w:val="ListParagraph"/>
        <w:numPr>
          <w:ilvl w:val="0"/>
          <w:numId w:val="1"/>
        </w:numPr>
        <w:spacing w:line="300"/>
      </w:pPr>
      <w:r>
        <w:t xml:space="preserve">r_couverture — rayon de couverture d'un détecteur en plafond, égal à 6,7 m (NF S 61-919)</w:t>
      </w:r>
    </w:p>
    <w:p>
      <w:pPr>
        <w:pStyle w:val="ListParagraph"/>
        <w:numPr>
          <w:ilvl w:val="0"/>
          <w:numId w:val="1"/>
        </w:numPr>
        <w:spacing w:line="300"/>
      </w:pPr>
      <w:r>
        <w:t xml:space="preserve">N_atelier — nombre minimal de détecteurs pour l'atelier</w:t>
      </w:r>
    </w:p>
    <w:p/>
    <w:p>
      <w:pPr>
        <w:pBdr>
          <w:bottom w:val="single" w:color="E5E1D8" w:sz="6" w:space="1"/>
        </w:pBdr>
        <w:spacing w:after="120" w:before="120"/>
      </w:pPr>
      <w:r>
        <w:t xml:space="preserve"/>
      </w:r>
    </w:p>
    <w:p/>
    <w:p>
      <w:pPr>
        <w:pStyle w:val="Heading3"/>
      </w:pPr>
      <w:bookmarkStart w:name="nexia_h_92" w:id="1"/>
      <w:r>
        <w:rPr>
          <w:b/>
          <w:bCs/>
        </w:rPr>
        <w:t xml:space="preserve">1.5.3.  </w:t>
      </w:r>
      <w:r>
        <w:t xml:space="preserve">SCHÉMA 2 — ARCHITECTURE DU SYSTÈME DE SÉCURITÉ INCENDIE (SSI)</w:t>
      </w:r>
      <w:bookmarkEnd w:id="1"/>
    </w:p>
    <w:p/>
    <w:p>
      <w:pPr>
        <w:spacing w:after="120" w:line="320"/>
        <w:jc w:val="both"/>
      </w:pPr>
      <w:r>
        <w:t xml:space="preserve">Le schéma ci-dessous présente l'architecture fonctionnelle complète du SSI de catégorie A, depuis les capteurs de terrain jusqu'aux équipements de mise en sécurité.</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Architecture SSI catégorie A — Atelier portes Ngoundiane</w:t>
      </w:r>
    </w:p>
    <w:p/>
    <w:p>
      <w:pPr>
        <w:pBdr>
          <w:bottom w:val="single" w:color="E5E1D8" w:sz="6" w:space="1"/>
        </w:pBdr>
        <w:spacing w:after="120" w:before="120"/>
      </w:pPr>
      <w:r>
        <w:t xml:space="preserve"/>
      </w:r>
    </w:p>
    <w:p/>
    <w:p>
      <w:pPr>
        <w:pStyle w:val="Heading2"/>
      </w:pPr>
      <w:bookmarkStart w:name="nexia_h_100" w:id="1"/>
      <w:r>
        <w:rPr>
          <w:b/>
          <w:bCs/>
        </w:rPr>
        <w:t xml:space="preserve">1.6.  </w:t>
      </w:r>
      <w:r>
        <w:t xml:space="preserve">Désenfumage</w:t>
      </w:r>
      <w:bookmarkEnd w:id="1"/>
    </w:p>
    <w:p/>
    <w:p>
      <w:pPr>
        <w:pStyle w:val="Heading3"/>
      </w:pPr>
      <w:bookmarkStart w:name="nexia_h_102" w:id="1"/>
      <w:r>
        <w:rPr>
          <w:b/>
          <w:bCs/>
        </w:rPr>
        <w:t xml:space="preserve">1.6.1.  </w:t>
      </w:r>
      <w:r>
        <w:t xml:space="preserve">Calcul de la surface d'extraction (Atelier 400 m²)</w:t>
      </w:r>
      <w:bookmarkEnd w:id="1"/>
    </w:p>
    <w:p/>
    <w:p>
      <w:pPr>
        <w:spacing w:after="120" w:line="320"/>
        <w:jc w:val="both"/>
      </w:pPr>
      <w:r>
        <w:t xml:space="preserve">S_géo = (A_locale)/200 = 400/200 = 2,0 m² requis</w:t>
      </w:r>
    </w:p>
    <w:p/>
    <w:p>
      <w:pPr>
        <w:spacing w:after="120" w:line="320"/>
        <w:jc w:val="both"/>
      </w:pPr>
      <w:r>
        <w:t xml:space="preserve">S_aérodyn = C_v × S_géo = 0,55 × 4,0 = 2,20 m² &gt; 2,0 m² ✓</w:t>
      </w:r>
    </w:p>
    <w:p/>
    <w:p>
      <w:pPr>
        <w:spacing w:after="120" w:line="320"/>
        <w:jc w:val="both"/>
      </w:pPr>
      <w:r>
        <w:rPr>
          <w:b/>
          <w:bCs/>
        </w:rPr>
        <w:t xml:space="preserve">4 exutoires de toiture 1 m² chacun</w:t>
      </w:r>
      <w:r>
        <w:t xml:space="preserve"> — déclenchement thermique (70°C) + pneumatique CO² + électrique SMSI.</w:t>
      </w:r>
    </w:p>
    <w:p/>
    <w:p>
      <w:pPr>
        <w:pBdr>
          <w:bottom w:val="single" w:color="E5E1D8" w:sz="6" w:space="1"/>
        </w:pBdr>
        <w:spacing w:after="120" w:before="120"/>
      </w:pPr>
      <w:r>
        <w:t xml:space="preserve"/>
      </w:r>
    </w:p>
    <w:p/>
    <w:p>
      <w:pPr>
        <w:pStyle w:val="Heading3"/>
      </w:pPr>
      <w:bookmarkStart w:name="nexia_h_112" w:id="1"/>
      <w:r>
        <w:rPr>
          <w:b/>
          <w:bCs/>
        </w:rPr>
        <w:t xml:space="preserve">1.6.2.  </w:t>
      </w:r>
      <w:r>
        <w:t xml:space="preserve">SCHÉMA 3 — PLAN DE DÉSENFUMAGE — COUPE LONGITUDINALE ATELIER</w:t>
      </w:r>
      <w:bookmarkEnd w:id="1"/>
    </w:p>
    <w:p/>
    <w:p>
      <w:pPr>
        <w:spacing w:after="120" w:line="320"/>
        <w:jc w:val="both"/>
      </w:pPr>
      <w:r>
        <w:t xml:space="preserve">La coupe ci-dessous montre le principe physique du désenfumage naturel : extraction en partie haute (exutoires), amenée d'air en partie basse (grilles automatiques).</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DÉSENFUMAGE NATUREL — COUPE A-A — ATELIER 20 m × HSP 6 m</w:t>
      </w:r>
    </w:p>
    <w:p/>
    <w:p>
      <w:pPr>
        <w:spacing w:after="120" w:line="320"/>
        <w:jc w:val="both"/>
      </w:pPr>
      <w:r>
        <w:rPr>
          <w:b/>
          <w:bCs/>
        </w:rPr>
        <w:t xml:space="preserve">Lecture :</w:t>
      </w:r>
      <w:r>
        <w:t xml:space="preserve"> L'air frais entre par les grilles G1–G4 en partie basse (h ≤ 1 m). La chaleur et les fumées montent et s'accumulent en réservoir au-dessus de 5 m. Les 4 exutoires EX1–EX4 évacuent le réservoir par tirage thermique naturel. Asservis au SMSI : ouverture automatique en 60 secondes maximum dès déclenchement alarme.</w:t>
      </w:r>
    </w:p>
    <w:p/>
    <w:p>
      <w:pPr>
        <w:pBdr>
          <w:bottom w:val="single" w:color="E5E1D8" w:sz="6" w:space="1"/>
        </w:pBdr>
        <w:spacing w:after="120" w:before="120"/>
      </w:pPr>
      <w:r>
        <w:t xml:space="preserve"/>
      </w:r>
    </w:p>
    <w:p/>
    <w:p>
      <w:pPr>
        <w:pStyle w:val="Heading2"/>
      </w:pPr>
      <w:bookmarkStart w:name="nexia_h_122" w:id="1"/>
      <w:r>
        <w:rPr>
          <w:b/>
          <w:bCs/>
        </w:rPr>
        <w:t xml:space="preserve">1.7.  </w:t>
      </w:r>
      <w:r>
        <w:t xml:space="preserve">Moyens de Lutte Contre l'Incendie</w:t>
      </w:r>
      <w:bookmarkEnd w:id="1"/>
    </w:p>
    <w:p/>
    <w:p>
      <w:pPr>
        <w:pStyle w:val="Heading3"/>
      </w:pPr>
      <w:bookmarkStart w:name="nexia_h_124" w:id="1"/>
      <w:r>
        <w:rPr>
          <w:b/>
          <w:bCs/>
        </w:rPr>
        <w:t xml:space="preserve">1.7.1.  </w:t>
      </w:r>
      <w:r>
        <w:t xml:space="preserve">Extincteurs — Récapitulatif</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Zone</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Type</w:t>
            </w:r>
          </w:p>
        </w:tc>
        <w:tc>
          <w:tcPr>
            <w:tcW w:type="pct" w:w="25%"/>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Quantité</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Agent</w:t>
            </w:r>
          </w:p>
        </w:tc>
      </w:tr>
      <w:tr>
        <w:tc>
          <w:tcPr>
            <w:tcW w:type="pct" w:w="25%"/>
            <w:tcMar>
              <w:top w:type="dxa" w:w="70"/>
              <w:left w:type="dxa" w:w="110"/>
              <w:bottom w:type="dxa" w:w="70"/>
              <w:right w:type="dxa" w:w="110"/>
            </w:tcMar>
          </w:tcPr>
          <w:p>
            <w:pPr>
              <w:spacing w:after="0" w:before="0"/>
              <w:jc w:val="left"/>
            </w:pPr>
            <w:r>
              <w:rPr>
                <w:sz w:val="22"/>
                <w:szCs w:val="22"/>
              </w:rPr>
              <w:t xml:space="preserve">Atelier (bois)</w:t>
            </w:r>
          </w:p>
        </w:tc>
        <w:tc>
          <w:tcPr>
            <w:tcW w:type="pct" w:w="25%"/>
            <w:tcMar>
              <w:top w:type="dxa" w:w="70"/>
              <w:left w:type="dxa" w:w="110"/>
              <w:bottom w:type="dxa" w:w="70"/>
              <w:right w:type="dxa" w:w="110"/>
            </w:tcMar>
          </w:tcPr>
          <w:p>
            <w:pPr>
              <w:spacing w:after="0" w:before="0"/>
              <w:jc w:val="left"/>
            </w:pPr>
            <w:r>
              <w:rPr>
                <w:sz w:val="22"/>
                <w:szCs w:val="22"/>
              </w:rPr>
              <w:t xml:space="preserve">Eau pulvérisée 9 L — 34A</w:t>
            </w:r>
          </w:p>
        </w:tc>
        <w:tc>
          <w:tcPr>
            <w:tcW w:type="pct" w:w="25%"/>
            <w:tcMar>
              <w:top w:type="dxa" w:w="70"/>
              <w:left w:type="dxa" w:w="110"/>
              <w:bottom w:type="dxa" w:w="70"/>
              <w:right w:type="dxa" w:w="110"/>
            </w:tcMar>
          </w:tcPr>
          <w:p>
            <w:pPr>
              <w:spacing w:after="0" w:before="0"/>
              <w:jc w:val="right"/>
            </w:pPr>
            <w:r>
              <w:rPr>
                <w:sz w:val="22"/>
                <w:szCs w:val="22"/>
              </w:rPr>
              <w:t xml:space="preserve">4</w:t>
            </w:r>
          </w:p>
        </w:tc>
        <w:tc>
          <w:tcPr>
            <w:tcW w:type="pct" w:w="25%"/>
            <w:tcMar>
              <w:top w:type="dxa" w:w="70"/>
              <w:left w:type="dxa" w:w="110"/>
              <w:bottom w:type="dxa" w:w="70"/>
              <w:right w:type="dxa" w:w="110"/>
            </w:tcMar>
          </w:tcPr>
          <w:p>
            <w:pPr>
              <w:spacing w:after="0" w:before="0"/>
              <w:jc w:val="left"/>
            </w:pPr>
            <w:r>
              <w:rPr>
                <w:sz w:val="22"/>
                <w:szCs w:val="22"/>
              </w:rPr>
              <w:t xml:space="preserve">Eau</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Zone vernissage</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 5 kg — 55B</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w:t>
            </w:r>
          </w:p>
        </w:tc>
      </w:tr>
      <w:tr>
        <w:tc>
          <w:tcPr>
            <w:tcW w:type="pct" w:w="25%"/>
            <w:tcMar>
              <w:top w:type="dxa" w:w="70"/>
              <w:left w:type="dxa" w:w="110"/>
              <w:bottom w:type="dxa" w:w="70"/>
              <w:right w:type="dxa" w:w="110"/>
            </w:tcMar>
          </w:tcPr>
          <w:p>
            <w:pPr>
              <w:spacing w:after="0" w:before="0"/>
              <w:jc w:val="left"/>
            </w:pPr>
            <w:r>
              <w:rPr>
                <w:sz w:val="22"/>
                <w:szCs w:val="22"/>
              </w:rPr>
              <w:t xml:space="preserve">Allées atelier</w:t>
            </w:r>
          </w:p>
        </w:tc>
        <w:tc>
          <w:tcPr>
            <w:tcW w:type="pct" w:w="25%"/>
            <w:tcMar>
              <w:top w:type="dxa" w:w="70"/>
              <w:left w:type="dxa" w:w="110"/>
              <w:bottom w:type="dxa" w:w="70"/>
              <w:right w:type="dxa" w:w="110"/>
            </w:tcMar>
          </w:tcPr>
          <w:p>
            <w:pPr>
              <w:spacing w:after="0" w:before="0"/>
              <w:jc w:val="left"/>
            </w:pPr>
            <w:r>
              <w:rPr>
                <w:sz w:val="22"/>
                <w:szCs w:val="22"/>
              </w:rPr>
              <w:t xml:space="preserve">Poudre ABC 6 kg</w:t>
            </w:r>
          </w:p>
        </w:tc>
        <w:tc>
          <w:tcPr>
            <w:tcW w:type="pct" w:w="25%"/>
            <w:tcMar>
              <w:top w:type="dxa" w:w="70"/>
              <w:left w:type="dxa" w:w="110"/>
              <w:bottom w:type="dxa" w:w="70"/>
              <w:right w:type="dxa" w:w="110"/>
            </w:tcMar>
          </w:tcPr>
          <w:p>
            <w:pPr>
              <w:spacing w:after="0" w:before="0"/>
              <w:jc w:val="right"/>
            </w:pPr>
            <w:r>
              <w:rPr>
                <w:sz w:val="22"/>
                <w:szCs w:val="22"/>
              </w:rPr>
              <w:t xml:space="preserve">3</w:t>
            </w:r>
          </w:p>
        </w:tc>
        <w:tc>
          <w:tcPr>
            <w:tcW w:type="pct" w:w="25%"/>
            <w:tcMar>
              <w:top w:type="dxa" w:w="70"/>
              <w:left w:type="dxa" w:w="110"/>
              <w:bottom w:type="dxa" w:w="70"/>
              <w:right w:type="dxa" w:w="110"/>
            </w:tcMar>
          </w:tcPr>
          <w:p>
            <w:pPr>
              <w:spacing w:after="0" w:before="0"/>
              <w:jc w:val="left"/>
            </w:pPr>
            <w:r>
              <w:rPr>
                <w:sz w:val="22"/>
                <w:szCs w:val="22"/>
              </w:rPr>
              <w:t xml:space="preserve">Poudre</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TGBT + Poste HTA</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 2 kg</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w:t>
            </w:r>
          </w:p>
        </w:tc>
      </w:tr>
      <w:tr>
        <w:tc>
          <w:tcPr>
            <w:tcW w:type="pct" w:w="25%"/>
            <w:tcMar>
              <w:top w:type="dxa" w:w="70"/>
              <w:left w:type="dxa" w:w="110"/>
              <w:bottom w:type="dxa" w:w="70"/>
              <w:right w:type="dxa" w:w="110"/>
            </w:tcMar>
          </w:tcPr>
          <w:p>
            <w:pPr>
              <w:spacing w:after="0" w:before="0"/>
              <w:jc w:val="left"/>
            </w:pPr>
            <w:r>
              <w:rPr>
                <w:sz w:val="22"/>
                <w:szCs w:val="22"/>
              </w:rPr>
              <w:t xml:space="preserve">Showroom</w:t>
            </w:r>
          </w:p>
        </w:tc>
        <w:tc>
          <w:tcPr>
            <w:tcW w:type="pct" w:w="25%"/>
            <w:tcMar>
              <w:top w:type="dxa" w:w="70"/>
              <w:left w:type="dxa" w:w="110"/>
              <w:bottom w:type="dxa" w:w="70"/>
              <w:right w:type="dxa" w:w="110"/>
            </w:tcMar>
          </w:tcPr>
          <w:p>
            <w:pPr>
              <w:spacing w:after="0" w:before="0"/>
              <w:jc w:val="left"/>
            </w:pPr>
            <w:r>
              <w:rPr>
                <w:sz w:val="22"/>
                <w:szCs w:val="22"/>
              </w:rPr>
              <w:t xml:space="preserve">Eau 6 L — 21A</w:t>
            </w:r>
          </w:p>
        </w:tc>
        <w:tc>
          <w:tcPr>
            <w:tcW w:type="pct" w:w="25%"/>
            <w:tcMar>
              <w:top w:type="dxa" w:w="70"/>
              <w:left w:type="dxa" w:w="110"/>
              <w:bottom w:type="dxa" w:w="70"/>
              <w:right w:type="dxa" w:w="110"/>
            </w:tcMar>
          </w:tcPr>
          <w:p>
            <w:pPr>
              <w:spacing w:after="0" w:before="0"/>
              <w:jc w:val="right"/>
            </w:pPr>
            <w:r>
              <w:rPr>
                <w:sz w:val="22"/>
                <w:szCs w:val="22"/>
              </w:rPr>
              <w:t xml:space="preserve">3</w:t>
            </w:r>
          </w:p>
        </w:tc>
        <w:tc>
          <w:tcPr>
            <w:tcW w:type="pct" w:w="25%"/>
            <w:tcMar>
              <w:top w:type="dxa" w:w="70"/>
              <w:left w:type="dxa" w:w="110"/>
              <w:bottom w:type="dxa" w:w="70"/>
              <w:right w:type="dxa" w:w="110"/>
            </w:tcMar>
          </w:tcPr>
          <w:p>
            <w:pPr>
              <w:spacing w:after="0" w:before="0"/>
              <w:jc w:val="left"/>
            </w:pPr>
            <w:r>
              <w:rPr>
                <w:sz w:val="22"/>
                <w:szCs w:val="22"/>
              </w:rPr>
              <w:t xml:space="preserve">Eau</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Bureaux</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 2 kg</w:t>
            </w:r>
          </w:p>
        </w:tc>
        <w:tc>
          <w:tcPr>
            <w:tcW w:type="pct" w:w="25%"/>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CO²</w:t>
            </w:r>
          </w:p>
        </w:tc>
      </w:tr>
      <w:tr>
        <w:tc>
          <w:tcPr>
            <w:tcW w:type="pct" w:w="25%"/>
            <w:shd w:fill="E5E1D8" w:color="auto" w:val="clear"/>
            <w:tcMar>
              <w:top w:type="dxa" w:w="70"/>
              <w:left w:type="dxa" w:w="110"/>
              <w:bottom w:type="dxa" w:w="70"/>
              <w:right w:type="dxa" w:w="110"/>
            </w:tcMar>
          </w:tcPr>
          <w:p>
            <w:pPr>
              <w:spacing w:after="0" w:before="0"/>
              <w:jc w:val="left"/>
            </w:pPr>
            <w:r>
              <w:rPr>
                <w:b/>
                <w:bCs/>
                <w:color w:val="1A1F2E"/>
                <w:sz w:val="22"/>
                <w:szCs w:val="22"/>
              </w:rPr>
              <w:t xml:space="preserve">TOTAL</w:t>
            </w:r>
          </w:p>
        </w:tc>
        <w:tc>
          <w:tcPr>
            <w:tcW w:type="pct" w:w="25%"/>
            <w:shd w:fill="E5E1D8" w:color="auto" w:val="clear"/>
            <w:tcMar>
              <w:top w:type="dxa" w:w="70"/>
              <w:left w:type="dxa" w:w="110"/>
              <w:bottom w:type="dxa" w:w="70"/>
              <w:right w:type="dxa" w:w="110"/>
            </w:tcMar>
          </w:tcPr>
          <w:p>
            <w:pPr>
              <w:spacing w:after="0" w:before="0"/>
              <w:jc w:val="left"/>
            </w:pPr>
            <w:r>
              <w:rPr>
                <w:b/>
                <w:bCs/>
                <w:color w:val="1A1F2E"/>
                <w:sz w:val="22"/>
                <w:szCs w:val="22"/>
              </w:rPr>
              <w:t xml:space="preserve"/>
            </w:r>
          </w:p>
        </w:tc>
        <w:tc>
          <w:tcPr>
            <w:tcW w:type="pct" w:w="25%"/>
            <w:shd w:fill="E5E1D8" w:color="auto" w:val="clear"/>
            <w:tcMar>
              <w:top w:type="dxa" w:w="70"/>
              <w:left w:type="dxa" w:w="110"/>
              <w:bottom w:type="dxa" w:w="70"/>
              <w:right w:type="dxa" w:w="110"/>
            </w:tcMar>
          </w:tcPr>
          <w:p>
            <w:pPr>
              <w:spacing w:after="0" w:before="0"/>
              <w:jc w:val="right"/>
            </w:pPr>
            <w:r>
              <w:rPr>
                <w:b/>
                <w:bCs/>
                <w:color w:val="1A1F2E"/>
                <w:sz w:val="22"/>
                <w:szCs w:val="22"/>
              </w:rPr>
              <w:t xml:space="preserve">16</w:t>
            </w:r>
          </w:p>
        </w:tc>
        <w:tc>
          <w:tcPr>
            <w:tcW w:type="pct" w:w="25%"/>
            <w:shd w:fill="E5E1D8" w:color="auto" w:val="clear"/>
            <w:tcMar>
              <w:top w:type="dxa" w:w="70"/>
              <w:left w:type="dxa" w:w="110"/>
              <w:bottom w:type="dxa" w:w="70"/>
              <w:right w:type="dxa" w:w="110"/>
            </w:tcMar>
          </w:tcPr>
          <w:p>
            <w:pPr>
              <w:spacing w:after="0" w:before="0"/>
              <w:jc w:val="left"/>
            </w:pPr>
            <w:r>
              <w:rPr>
                <w:b/>
                <w:bCs/>
                <w:color w:val="1A1F2E"/>
                <w:sz w:val="22"/>
                <w:szCs w:val="22"/>
              </w:rPr>
              <w:t xml:space="preserve"/>
            </w:r>
          </w:p>
        </w:tc>
      </w:tr>
    </w:tbl>
    <w:p/>
    <w:p/>
    <w:p>
      <w:pPr>
        <w:pStyle w:val="Heading3"/>
      </w:pPr>
      <w:bookmarkStart w:name="nexia_h_128" w:id="1"/>
      <w:r>
        <w:rPr>
          <w:b/>
          <w:bCs/>
        </w:rPr>
        <w:t xml:space="preserve">1.7.2.  </w:t>
      </w:r>
      <w:r>
        <w:t xml:space="preserve">Légende picotgrammes ISO 7010</w:t>
      </w:r>
      <w:bookmarkEnd w:id="1"/>
    </w:p>
    <w:p/>
    <w:p>
      <w:pPr>
        <w:spacing w:after="120" w:line="320"/>
        <w:jc w:val="both"/>
      </w:pPr>
      <w:r>
        <w:t xml:space="preserve">Les pictogrammes de sécurité incendie que l'on voit sur les portes de secours, au-dessus des extincteurs ou sur les panneaux de sortie sont standardisés à l'échelle internationale par la norme </w:t>
      </w:r>
      <w:r>
        <w:rPr>
          <w:b/>
          <w:bCs/>
        </w:rPr>
        <w:t xml:space="preserve">ISO 7010</w:t>
      </w:r>
      <w:r>
        <w:t xml:space="preserve">. Elle classe les pictogrammes par catégorie : </w:t>
      </w:r>
      <w:r>
        <w:rPr>
          <w:b/>
          <w:bCs/>
        </w:rPr>
        <w:t xml:space="preserve">E</w:t>
      </w:r>
      <w:r>
        <w:t xml:space="preserve"> (Évacuation) pour E001 (issue de secours), E002 (direction), E007 (point de rassemblement) ; </w:t>
      </w:r>
      <w:r>
        <w:rPr>
          <w:b/>
          <w:bCs/>
        </w:rPr>
        <w:t xml:space="preserve">F</w:t>
      </w:r>
      <w:r>
        <w:t xml:space="preserve"> (Fire equipment) pour F001 (extincteur), F002 (RIA), F003 (échelle incendie), F005 (déclencheur alarme).</w:t>
      </w:r>
    </w:p>
    <w:p/>
    <w:p>
      <w:pPr>
        <w:pBdr>
          <w:bottom w:val="single" w:color="E5E1D8" w:sz="6" w:space="1"/>
        </w:pBdr>
        <w:spacing w:after="120" w:before="120"/>
      </w:pPr>
      <w:r>
        <w:t xml:space="preserve"/>
      </w:r>
    </w:p>
    <w:p/>
    <w:p>
      <w:pPr>
        <w:pStyle w:val="Heading3"/>
      </w:pPr>
      <w:bookmarkStart w:name="nexia_h_134" w:id="1"/>
      <w:r>
        <w:rPr>
          <w:b/>
          <w:bCs/>
        </w:rPr>
        <w:t xml:space="preserve">1.7.3.  </w:t>
      </w:r>
      <w:r>
        <w:t xml:space="preserve">SCHÉMA 4 — LÉGENDE DES PICTOGRAMMES DE SÉCURITÉ ISO 7010</w:t>
      </w:r>
      <w:bookmarkEnd w:id="1"/>
    </w:p>
    <w:p/>
    <w:p>
      <w:pPr>
        <w:spacing w:after="120" w:line="320"/>
        <w:jc w:val="both"/>
      </w:pPr>
      <w:r>
        <w:t xml:space="preserve">Les symboles doivent être proportionnés et lisibles (taille minimale recommandée de 8 à 10 mm sur un plan A3) et orientés correctement par rapport à la lecture du plan.</w:t>
      </w:r>
    </w:p>
    <w:p/>
    <w:p>
      <w:pPr>
        <w:spacing w:after="80" w:before="120"/>
        <w:jc w:val="center"/>
      </w:pPr>
      <w:r>
        <w:drawing>
          <wp:inline distT="0" distB="0" distL="0" distR="0">
            <wp:extent cx="4572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572000" cy="3048000"/>
                    </a:xfrm>
                    <a:prstGeom prst="rect">
                      <a:avLst/>
                    </a:prstGeom>
                  </pic:spPr>
                </pic:pic>
              </a:graphicData>
            </a:graphic>
          </wp:inline>
        </w:drawing>
      </w:r>
    </w:p>
    <w:p>
      <w:pPr>
        <w:spacing w:after="200"/>
        <w:jc w:val="center"/>
      </w:pPr>
      <w:r>
        <w:rPr>
          <w:i/>
          <w:iCs/>
          <w:color w:val="555555"/>
          <w:sz w:val="20"/>
          <w:szCs w:val="20"/>
        </w:rPr>
        <w:t xml:space="preserve">Légende pictogrammes ISO 7010 — Notice de sécurité incendie</w:t>
      </w:r>
    </w:p>
    <w:p/>
    <w:p>
      <w:pPr>
        <w:pBdr>
          <w:bottom w:val="single" w:color="E5E1D8" w:sz="6" w:space="1"/>
        </w:pBdr>
        <w:spacing w:after="120" w:before="120"/>
      </w:pPr>
      <w:r>
        <w:t xml:space="preserve"/>
      </w:r>
    </w:p>
    <w:p/>
    <w:p>
      <w:pPr>
        <w:pStyle w:val="Heading2"/>
      </w:pPr>
      <w:bookmarkStart w:name="nexia_h_142" w:id="1"/>
      <w:r>
        <w:rPr>
          <w:b/>
          <w:bCs/>
        </w:rPr>
        <w:t xml:space="preserve">1.8.  </w:t>
      </w:r>
      <w:r>
        <w:t xml:space="preserve">Évacuation et Dégagements</w:t>
      </w:r>
      <w:bookmarkEnd w:id="1"/>
    </w:p>
    <w:p/>
    <w:p>
      <w:pPr>
        <w:pStyle w:val="Heading3"/>
      </w:pPr>
      <w:bookmarkStart w:name="nexia_h_144" w:id="1"/>
      <w:r>
        <w:rPr>
          <w:b/>
          <w:bCs/>
        </w:rPr>
        <w:t xml:space="preserve">1.8.1.  </w:t>
      </w:r>
      <w:r>
        <w:t xml:space="preserve">Largeurs de dégagement</w:t>
      </w:r>
      <w:bookmarkEnd w:id="1"/>
    </w:p>
    <w:p/>
    <w:p>
      <w:pPr>
        <w:spacing w:after="120" w:line="320"/>
        <w:jc w:val="both"/>
      </w:pPr>
      <w:r>
        <w:t xml:space="preserve">N_UP = \lceil(N_personnes)/100\rceil × 2 ≥ 2 ⇒ L_min = N_UP × 0,60 m</w:t>
      </w:r>
    </w:p>
    <w:p/>
    <w:p>
      <w:pPr>
        <w:spacing w:after="120" w:line="320"/>
        <w:jc w:val="both"/>
      </w:pPr>
      <w:r>
        <w:t xml:space="preserve">où :</w:t>
      </w:r>
    </w:p>
    <w:p>
      <w:pPr>
        <w:pStyle w:val="ListParagraph"/>
        <w:numPr>
          <w:ilvl w:val="0"/>
          <w:numId w:val="1"/>
        </w:numPr>
        <w:spacing w:line="300"/>
      </w:pPr>
      <w:r>
        <w:t xml:space="preserve">N_UP — nombre d'unités de passage requis</w:t>
      </w:r>
    </w:p>
    <w:p>
      <w:pPr>
        <w:pStyle w:val="ListParagraph"/>
        <w:numPr>
          <w:ilvl w:val="0"/>
          <w:numId w:val="1"/>
        </w:numPr>
        <w:spacing w:line="300"/>
      </w:pPr>
      <w:r>
        <w:t xml:space="preserve">N_personnes — effectif maximal du local</w:t>
      </w:r>
    </w:p>
    <w:p>
      <w:pPr>
        <w:pStyle w:val="ListParagraph"/>
        <w:numPr>
          <w:ilvl w:val="0"/>
          <w:numId w:val="1"/>
        </w:numPr>
        <w:spacing w:line="300"/>
      </w:pPr>
      <w:r>
        <w:t xml:space="preserve">L_min — largeur libre minimale de l'issue, en m</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gridCol w:w="100"/>
      </w:tblGrid>
      <w:tr>
        <w:trPr>
          <w:tblHeader/>
        </w:trPr>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Local</w:t>
            </w:r>
          </w:p>
        </w:tc>
        <w:tc>
          <w:tcPr>
            <w:tcW w:type="pct" w:w="20%"/>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Effectif</w:t>
            </w:r>
          </w:p>
        </w:tc>
        <w:tc>
          <w:tcPr>
            <w:tcW w:type="pct" w:w="20%"/>
            <w:shd w:fill="1A1F2E" w:color="auto" w:val="clear"/>
            <w:tcMar>
              <w:top w:type="dxa" w:w="100"/>
              <w:left w:type="dxa" w:w="110"/>
              <w:bottom w:type="dxa" w:w="100"/>
              <w:right w:type="dxa" w:w="110"/>
            </w:tcMar>
          </w:tcPr>
          <w:p>
            <w:pPr>
              <w:spacing w:after="0" w:before="0"/>
              <w:jc w:val="right"/>
            </w:pPr>
            <w:r>
              <w:rPr>
                <w:b/>
                <w:bCs/>
                <w:color w:val="FFFFFF"/>
                <w:sz w:val="22"/>
                <w:szCs w:val="22"/>
              </w:rPr>
              <w:t xml:space="preserve">UP requis</w:t>
            </w:r>
          </w:p>
        </w:tc>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Largeur min.</w:t>
            </w:r>
          </w:p>
        </w:tc>
        <w:tc>
          <w:tcPr>
            <w:tcW w:type="pct" w:w="2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Issues prévues</w:t>
            </w:r>
          </w:p>
        </w:tc>
      </w:tr>
      <w:tr>
        <w:tc>
          <w:tcPr>
            <w:tcW w:type="pct" w:w="20%"/>
            <w:tcMar>
              <w:top w:type="dxa" w:w="70"/>
              <w:left w:type="dxa" w:w="110"/>
              <w:bottom w:type="dxa" w:w="70"/>
              <w:right w:type="dxa" w:w="110"/>
            </w:tcMar>
          </w:tcPr>
          <w:p>
            <w:pPr>
              <w:spacing w:after="0" w:before="0"/>
              <w:jc w:val="left"/>
            </w:pPr>
            <w:r>
              <w:rPr>
                <w:sz w:val="22"/>
                <w:szCs w:val="22"/>
              </w:rPr>
              <w:t xml:space="preserve">Atelier</w:t>
            </w:r>
          </w:p>
        </w:tc>
        <w:tc>
          <w:tcPr>
            <w:tcW w:type="pct" w:w="20%"/>
            <w:tcMar>
              <w:top w:type="dxa" w:w="70"/>
              <w:left w:type="dxa" w:w="110"/>
              <w:bottom w:type="dxa" w:w="70"/>
              <w:right w:type="dxa" w:w="110"/>
            </w:tcMar>
          </w:tcPr>
          <w:p>
            <w:pPr>
              <w:spacing w:after="0" w:before="0"/>
              <w:jc w:val="right"/>
            </w:pPr>
            <w:r>
              <w:rPr>
                <w:sz w:val="22"/>
                <w:szCs w:val="22"/>
              </w:rPr>
              <w:t xml:space="preserve">20</w:t>
            </w:r>
          </w:p>
        </w:tc>
        <w:tc>
          <w:tcPr>
            <w:tcW w:type="pct" w:w="20%"/>
            <w:tcMar>
              <w:top w:type="dxa" w:w="70"/>
              <w:left w:type="dxa" w:w="110"/>
              <w:bottom w:type="dxa" w:w="70"/>
              <w:right w:type="dxa" w:w="110"/>
            </w:tcMar>
          </w:tcPr>
          <w:p>
            <w:pPr>
              <w:spacing w:after="0" w:before="0"/>
              <w:jc w:val="right"/>
            </w:pPr>
            <w:r>
              <w:rPr>
                <w:sz w:val="22"/>
                <w:szCs w:val="22"/>
              </w:rPr>
              <w:t xml:space="preserve">2</w:t>
            </w:r>
          </w:p>
        </w:tc>
        <w:tc>
          <w:tcPr>
            <w:tcW w:type="pct" w:w="20%"/>
            <w:tcMar>
              <w:top w:type="dxa" w:w="70"/>
              <w:left w:type="dxa" w:w="110"/>
              <w:bottom w:type="dxa" w:w="70"/>
              <w:right w:type="dxa" w:w="110"/>
            </w:tcMar>
          </w:tcPr>
          <w:p>
            <w:pPr>
              <w:spacing w:after="0" w:before="0"/>
              <w:jc w:val="left"/>
            </w:pPr>
            <w:r>
              <w:rPr>
                <w:sz w:val="22"/>
                <w:szCs w:val="22"/>
              </w:rPr>
              <w:t xml:space="preserve">1,20 m</w:t>
            </w:r>
          </w:p>
        </w:tc>
        <w:tc>
          <w:tcPr>
            <w:tcW w:type="pct" w:w="20%"/>
            <w:tcMar>
              <w:top w:type="dxa" w:w="70"/>
              <w:left w:type="dxa" w:w="110"/>
              <w:bottom w:type="dxa" w:w="70"/>
              <w:right w:type="dxa" w:w="110"/>
            </w:tcMar>
          </w:tcPr>
          <w:p>
            <w:pPr>
              <w:spacing w:after="0" w:before="0"/>
              <w:jc w:val="left"/>
            </w:pPr>
            <w:r>
              <w:rPr>
                <w:sz w:val="22"/>
                <w:szCs w:val="22"/>
              </w:rPr>
              <w:t xml:space="preserve">2 portes 1,20 m (N + S)</w:t>
            </w:r>
          </w:p>
        </w:tc>
      </w:tr>
      <w:tr>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Showroom</w:t>
            </w:r>
          </w:p>
        </w:tc>
        <w:tc>
          <w:tcPr>
            <w:tcW w:type="pct" w:w="20%"/>
            <w:shd w:fill="FAF7F2" w:color="auto" w:val="clear"/>
            <w:tcMar>
              <w:top w:type="dxa" w:w="70"/>
              <w:left w:type="dxa" w:w="110"/>
              <w:bottom w:type="dxa" w:w="70"/>
              <w:right w:type="dxa" w:w="110"/>
            </w:tcMar>
          </w:tcPr>
          <w:p>
            <w:pPr>
              <w:spacing w:after="0" w:before="0"/>
              <w:jc w:val="right"/>
            </w:pPr>
            <w:r>
              <w:rPr>
                <w:sz w:val="22"/>
                <w:szCs w:val="22"/>
              </w:rPr>
              <w:t xml:space="preserve">15</w:t>
            </w:r>
          </w:p>
        </w:tc>
        <w:tc>
          <w:tcPr>
            <w:tcW w:type="pct" w:w="20%"/>
            <w:shd w:fill="FAF7F2" w:color="auto" w:val="clear"/>
            <w:tcMar>
              <w:top w:type="dxa" w:w="70"/>
              <w:left w:type="dxa" w:w="110"/>
              <w:bottom w:type="dxa" w:w="70"/>
              <w:right w:type="dxa" w:w="110"/>
            </w:tcMar>
          </w:tcPr>
          <w:p>
            <w:pPr>
              <w:spacing w:after="0" w:before="0"/>
              <w:jc w:val="right"/>
            </w:pPr>
            <w:r>
              <w:rPr>
                <w:sz w:val="22"/>
                <w:szCs w:val="22"/>
              </w:rPr>
              <w:t xml:space="preserve">2</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1,20 m</w:t>
            </w:r>
          </w:p>
        </w:tc>
        <w:tc>
          <w:tcPr>
            <w:tcW w:type="pct" w:w="20%"/>
            <w:shd w:fill="FAF7F2" w:color="auto" w:val="clear"/>
            <w:tcMar>
              <w:top w:type="dxa" w:w="70"/>
              <w:left w:type="dxa" w:w="110"/>
              <w:bottom w:type="dxa" w:w="70"/>
              <w:right w:type="dxa" w:w="110"/>
            </w:tcMar>
          </w:tcPr>
          <w:p>
            <w:pPr>
              <w:spacing w:after="0" w:before="0"/>
              <w:jc w:val="left"/>
            </w:pPr>
            <w:r>
              <w:rPr>
                <w:sz w:val="22"/>
                <w:szCs w:val="22"/>
              </w:rPr>
              <w:t xml:space="preserve">2 portes 1,00 m + 1 issue 0,90 m</w:t>
            </w:r>
          </w:p>
        </w:tc>
      </w:tr>
      <w:tr>
        <w:tc>
          <w:tcPr>
            <w:tcW w:type="pct" w:w="20%"/>
            <w:tcMar>
              <w:top w:type="dxa" w:w="70"/>
              <w:left w:type="dxa" w:w="110"/>
              <w:bottom w:type="dxa" w:w="70"/>
              <w:right w:type="dxa" w:w="110"/>
            </w:tcMar>
          </w:tcPr>
          <w:p>
            <w:pPr>
              <w:spacing w:after="0" w:before="0"/>
              <w:jc w:val="left"/>
            </w:pPr>
            <w:r>
              <w:rPr>
                <w:sz w:val="22"/>
                <w:szCs w:val="22"/>
              </w:rPr>
              <w:t xml:space="preserve">Bureaux</w:t>
            </w:r>
          </w:p>
        </w:tc>
        <w:tc>
          <w:tcPr>
            <w:tcW w:type="pct" w:w="20%"/>
            <w:tcMar>
              <w:top w:type="dxa" w:w="70"/>
              <w:left w:type="dxa" w:w="110"/>
              <w:bottom w:type="dxa" w:w="70"/>
              <w:right w:type="dxa" w:w="110"/>
            </w:tcMar>
          </w:tcPr>
          <w:p>
            <w:pPr>
              <w:spacing w:after="0" w:before="0"/>
              <w:jc w:val="right"/>
            </w:pPr>
            <w:r>
              <w:rPr>
                <w:sz w:val="22"/>
                <w:szCs w:val="22"/>
              </w:rPr>
              <w:t xml:space="preserve">5</w:t>
            </w:r>
          </w:p>
        </w:tc>
        <w:tc>
          <w:tcPr>
            <w:tcW w:type="pct" w:w="20%"/>
            <w:tcMar>
              <w:top w:type="dxa" w:w="70"/>
              <w:left w:type="dxa" w:w="110"/>
              <w:bottom w:type="dxa" w:w="70"/>
              <w:right w:type="dxa" w:w="110"/>
            </w:tcMar>
          </w:tcPr>
          <w:p>
            <w:pPr>
              <w:spacing w:after="0" w:before="0"/>
              <w:jc w:val="right"/>
            </w:pPr>
            <w:r>
              <w:rPr>
                <w:sz w:val="22"/>
                <w:szCs w:val="22"/>
              </w:rPr>
              <w:t xml:space="preserve">1</w:t>
            </w:r>
          </w:p>
        </w:tc>
        <w:tc>
          <w:tcPr>
            <w:tcW w:type="pct" w:w="20%"/>
            <w:tcMar>
              <w:top w:type="dxa" w:w="70"/>
              <w:left w:type="dxa" w:w="110"/>
              <w:bottom w:type="dxa" w:w="70"/>
              <w:right w:type="dxa" w:w="110"/>
            </w:tcMar>
          </w:tcPr>
          <w:p>
            <w:pPr>
              <w:spacing w:after="0" w:before="0"/>
              <w:jc w:val="left"/>
            </w:pPr>
            <w:r>
              <w:rPr>
                <w:sz w:val="22"/>
                <w:szCs w:val="22"/>
              </w:rPr>
              <w:t xml:space="preserve">0,90 m</w:t>
            </w:r>
          </w:p>
        </w:tc>
        <w:tc>
          <w:tcPr>
            <w:tcW w:type="pct" w:w="20%"/>
            <w:tcMar>
              <w:top w:type="dxa" w:w="70"/>
              <w:left w:type="dxa" w:w="110"/>
              <w:bottom w:type="dxa" w:w="70"/>
              <w:right w:type="dxa" w:w="110"/>
            </w:tcMar>
          </w:tcPr>
          <w:p>
            <w:pPr>
              <w:spacing w:after="0" w:before="0"/>
              <w:jc w:val="left"/>
            </w:pPr>
            <w:r>
              <w:rPr>
                <w:sz w:val="22"/>
                <w:szCs w:val="22"/>
              </w:rPr>
              <w:t xml:space="preserve">1 porte 0,90 m</w:t>
            </w:r>
          </w:p>
        </w:tc>
      </w:tr>
    </w:tbl>
    <w:p/>
    <w:p/>
    <w:p>
      <w:pPr>
        <w:pBdr>
          <w:bottom w:val="single" w:color="E5E1D8" w:sz="6" w:space="1"/>
        </w:pBdr>
        <w:spacing w:after="120" w:before="120"/>
      </w:pPr>
      <w:r>
        <w:t xml:space="preserve"/>
      </w:r>
    </w:p>
    <w:p/>
    <w:p>
      <w:pPr>
        <w:pStyle w:val="Heading3"/>
      </w:pPr>
      <w:bookmarkStart w:name="nexia_h_157" w:id="1"/>
      <w:r>
        <w:rPr>
          <w:b/>
          <w:bCs/>
        </w:rPr>
        <w:t xml:space="preserve">1.8.2.  </w:t>
      </w:r>
      <w:r>
        <w:t xml:space="preserve">SCHÉMA 5 — PLAN D'ÉVACUATION ET MOYENS DE LUTTE — VUE EN PLAN SITE COMPLET</w:t>
      </w:r>
      <w:bookmarkEnd w:id="1"/>
    </w:p>
    <w:p/>
    <w:p>
      <w:pPr>
        <w:spacing w:after="120" w:line="320"/>
        <w:jc w:val="both"/>
      </w:pPr>
      <w:r>
        <w:t xml:space="preserve">Ce plan d'évacuation reprend l'ensemble des bâtiments du site : atelier (20×20 m), showroom + bureaux (20×10 m), poste HTA (4×3 m) et le périmètre clôturé. Il positionne tous les équipements de sécurité selon la codification ISO 7010 et NF X 08-070.</w:t>
      </w:r>
    </w:p>
    <w:p/>
    <w:p>
      <w:pPr>
        <w:spacing w:after="120" w:line="320"/>
        <w:jc w:val="both"/>
      </w:pPr>
      <w:r>
        <w:t xml:space="preserve">[Schéma : Plan d'évacuation — Site complet — Atelier portes Ngoundiane — non disponible]</w:t>
      </w:r>
    </w:p>
    <w:p/>
    <w:p>
      <w:pPr>
        <w:spacing w:after="120" w:line="320"/>
        <w:jc w:val="both"/>
      </w:pPr>
      <w:r>
        <w:rPr>
          <w:b/>
          <w:bCs/>
        </w:rPr>
        <w:t xml:space="preserve">Lecture du plan :</w:t>
      </w:r>
      <w:r>
        <w:t xml:space="preserve"> Les flèches vertes indiquent les sens d'évacuation vers les 2 issues de l'atelier (nord : vers point de rassemblement parking ; sud : vers extérieur) et les 2 issues du showroom. Le point de rassemblement (R vert) est positionné dans le parking nord, à l'écart de l'accès pompiers.</w:t>
      </w:r>
    </w:p>
    <w:p/>
    <w:p>
      <w:pPr>
        <w:pBdr>
          <w:bottom w:val="single" w:color="E5E1D8" w:sz="6" w:space="1"/>
        </w:pBdr>
        <w:spacing w:after="120" w:before="120"/>
      </w:pPr>
      <w:r>
        <w:t xml:space="preserve"/>
      </w:r>
    </w:p>
    <w:p/>
    <w:p>
      <w:pPr>
        <w:pStyle w:val="Heading2"/>
      </w:pPr>
      <w:bookmarkStart w:name="nexia_h_167" w:id="1"/>
      <w:r>
        <w:rPr>
          <w:b/>
          <w:bCs/>
        </w:rPr>
        <w:t xml:space="preserve">1.9.  </w:t>
      </w:r>
      <w:r>
        <w:t xml:space="preserve">Organisation de la Sécurité Incendie</w:t>
      </w:r>
      <w:bookmarkEnd w:id="1"/>
    </w:p>
    <w:p/>
    <w:p>
      <w:pPr>
        <w:pStyle w:val="Heading3"/>
      </w:pPr>
      <w:bookmarkStart w:name="nexia_h_169" w:id="1"/>
      <w:r>
        <w:rPr>
          <w:b/>
          <w:bCs/>
        </w:rPr>
        <w:t xml:space="preserve">1.9.1.  </w:t>
      </w:r>
      <w:r>
        <w:t xml:space="preserve">Équipe de Sécurité Incendie (ESI)</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Rôle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Nombre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Missions</w:t>
            </w:r>
          </w:p>
        </w:tc>
      </w:tr>
      <w:tr>
        <w:tc>
          <w:tcPr>
            <w:tcW w:type="pct" w:w="33%"/>
            <w:tcMar>
              <w:top w:type="dxa" w:w="70"/>
              <w:left w:type="dxa" w:w="110"/>
              <w:bottom w:type="dxa" w:w="70"/>
              <w:right w:type="dxa" w:w="110"/>
            </w:tcMar>
          </w:tcPr>
          <w:p>
            <w:pPr>
              <w:spacing w:after="0" w:before="0"/>
              <w:jc w:val="left"/>
            </w:pPr>
            <w:r>
              <w:rPr>
                <w:sz w:val="22"/>
                <w:szCs w:val="22"/>
              </w:rPr>
              <w:t xml:space="preserve">Responsable Sécurité Incendie (RSI)</w:t>
            </w:r>
          </w:p>
        </w:tc>
        <w:tc>
          <w:tcPr>
            <w:tcW w:type="pct" w:w="33%"/>
            <w:tcMar>
              <w:top w:type="dxa" w:w="70"/>
              <w:left w:type="dxa" w:w="110"/>
              <w:bottom w:type="dxa" w:w="70"/>
              <w:right w:type="dxa" w:w="110"/>
            </w:tcMar>
          </w:tcPr>
          <w:p>
            <w:pPr>
              <w:spacing w:after="0" w:before="0"/>
              <w:jc w:val="left"/>
            </w:pPr>
            <w:r>
              <w:rPr>
                <w:sz w:val="22"/>
                <w:szCs w:val="22"/>
              </w:rPr>
              <w:t xml:space="preserve">1</w:t>
            </w:r>
          </w:p>
        </w:tc>
        <w:tc>
          <w:tcPr>
            <w:tcW w:type="pct" w:w="33%"/>
            <w:tcMar>
              <w:top w:type="dxa" w:w="70"/>
              <w:left w:type="dxa" w:w="110"/>
              <w:bottom w:type="dxa" w:w="70"/>
              <w:right w:type="dxa" w:w="110"/>
            </w:tcMar>
          </w:tcPr>
          <w:p>
            <w:pPr>
              <w:spacing w:after="0" w:before="0"/>
              <w:jc w:val="left"/>
            </w:pPr>
            <w:r>
              <w:rPr>
                <w:sz w:val="22"/>
                <w:szCs w:val="22"/>
              </w:rPr>
              <w:t xml:space="preserve">Supervision, décision évacuation, contact pompiers</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Équipier 1re intervention (EPI)</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2 minimum</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Attaque initiale, activation alarme</w:t>
            </w:r>
          </w:p>
        </w:tc>
      </w:tr>
      <w:tr>
        <w:tc>
          <w:tcPr>
            <w:tcW w:type="pct" w:w="33%"/>
            <w:tcMar>
              <w:top w:type="dxa" w:w="70"/>
              <w:left w:type="dxa" w:w="110"/>
              <w:bottom w:type="dxa" w:w="70"/>
              <w:right w:type="dxa" w:w="110"/>
            </w:tcMar>
          </w:tcPr>
          <w:p>
            <w:pPr>
              <w:spacing w:after="0" w:before="0"/>
              <w:jc w:val="left"/>
            </w:pPr>
            <w:r>
              <w:rPr>
                <w:sz w:val="22"/>
                <w:szCs w:val="22"/>
              </w:rPr>
              <w:t xml:space="preserve">Serre-file</w:t>
            </w:r>
          </w:p>
        </w:tc>
        <w:tc>
          <w:tcPr>
            <w:tcW w:type="pct" w:w="33%"/>
            <w:tcMar>
              <w:top w:type="dxa" w:w="70"/>
              <w:left w:type="dxa" w:w="110"/>
              <w:bottom w:type="dxa" w:w="70"/>
              <w:right w:type="dxa" w:w="110"/>
            </w:tcMar>
          </w:tcPr>
          <w:p>
            <w:pPr>
              <w:spacing w:after="0" w:before="0"/>
              <w:jc w:val="left"/>
            </w:pPr>
            <w:r>
              <w:rPr>
                <w:sz w:val="22"/>
                <w:szCs w:val="22"/>
              </w:rPr>
              <w:t xml:space="preserve">1 par zone</w:t>
            </w:r>
          </w:p>
        </w:tc>
        <w:tc>
          <w:tcPr>
            <w:tcW w:type="pct" w:w="33%"/>
            <w:tcMar>
              <w:top w:type="dxa" w:w="70"/>
              <w:left w:type="dxa" w:w="110"/>
              <w:bottom w:type="dxa" w:w="70"/>
              <w:right w:type="dxa" w:w="110"/>
            </w:tcMar>
          </w:tcPr>
          <w:p>
            <w:pPr>
              <w:spacing w:after="0" w:before="0"/>
              <w:jc w:val="left"/>
            </w:pPr>
            <w:r>
              <w:rPr>
                <w:sz w:val="22"/>
                <w:szCs w:val="22"/>
              </w:rPr>
              <w:t xml:space="preserve">Ferme les portes, vérifie l'évacuation complète</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Gardien de nuit</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1</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Rondes, surveillance centrale CDI</w:t>
            </w:r>
          </w:p>
        </w:tc>
      </w:tr>
    </w:tbl>
    <w:p/>
    <w:p/>
    <w:p>
      <w:pPr>
        <w:pStyle w:val="Heading3"/>
      </w:pPr>
      <w:bookmarkStart w:name="nexia_h_173" w:id="1"/>
      <w:r>
        <w:rPr>
          <w:b/>
          <w:bCs/>
        </w:rPr>
        <w:t xml:space="preserve">1.9.2.  </w:t>
      </w:r>
      <w:r>
        <w:t xml:space="preserve">Consignes générales en cas d'incendie</w:t>
      </w:r>
      <w:bookmarkEnd w:id="1"/>
    </w:p>
    <w:p/>
    <w:p>
      <w:pPr>
        <w:spacing w:after="120" w:line="320"/>
        <w:jc w:val="both"/>
      </w:pPr>
      <w:r>
        <w:rPr>
          <w:b/>
          <w:bCs/>
        </w:rPr>
        <w:t xml:space="preserve">① DONNER L'ALARME</w:t>
      </w:r>
      <w:r>
        <w:t xml:space="preserve"> → Bris de glace (DM) le plus proche </w:t>
      </w:r>
      <w:r>
        <w:rPr>
          <w:b/>
          <w:bCs/>
        </w:rPr>
        <w:t xml:space="preserve">② ALERTER LES SECOURS</w:t>
      </w:r>
      <w:r>
        <w:t xml:space="preserve"> → </w:t>
      </w:r>
      <w:r>
        <w:rPr>
          <w:b/>
          <w:bCs/>
        </w:rPr>
        <w:t xml:space="preserve">Tel. 18</w:t>
      </w:r>
      <w:r>
        <w:t xml:space="preserve"> (Pompiers Thiès) — adresse : Atelier portes, Ngoundiane </w:t>
      </w:r>
      <w:r>
        <w:rPr>
          <w:b/>
          <w:bCs/>
        </w:rPr>
        <w:t xml:space="preserve">③ ATTAQUER SI POSSIBLE</w:t>
      </w:r>
      <w:r>
        <w:t xml:space="preserve"> → Extincteur adapté, dos à la sortie, feu de taille limitée uniquement </w:t>
      </w:r>
      <w:r>
        <w:rPr>
          <w:b/>
          <w:bCs/>
        </w:rPr>
        <w:t xml:space="preserve">④ ÉVACUER</w:t>
      </w:r>
      <w:r>
        <w:t xml:space="preserve"> → Issues de secours, ne jamais revenir en arrière </w:t>
      </w:r>
      <w:r>
        <w:rPr>
          <w:b/>
          <w:bCs/>
        </w:rPr>
        <w:t xml:space="preserve">⑤ SE RASSEMBLER</w:t>
      </w:r>
      <w:r>
        <w:t xml:space="preserve"> → Point de rassemblement </w:t>
      </w:r>
      <w:r>
        <w:rPr>
          <w:b/>
          <w:bCs/>
        </w:rPr>
        <w:t xml:space="preserve">Parking Nord</w:t>
      </w:r>
      <w:r>
        <w:t xml:space="preserve"> </w:t>
      </w:r>
      <w:r>
        <w:rPr>
          <w:b/>
          <w:bCs/>
        </w:rPr>
        <w:t xml:space="preserve">⑥ ACCUEILLIR LES SECOURS</w:t>
      </w:r>
      <w:r>
        <w:t xml:space="preserve"> → RSI ou EPI désigné remet le plan aux pompiers à l'entrée</w:t>
      </w:r>
    </w:p>
    <w:p/>
    <w:p>
      <w:pPr>
        <w:pStyle w:val="Heading3"/>
      </w:pPr>
      <w:bookmarkStart w:name="nexia_h_177" w:id="1"/>
      <w:r>
        <w:rPr>
          <w:b/>
          <w:bCs/>
        </w:rPr>
        <w:t xml:space="preserve">1.9.3.  </w:t>
      </w:r>
      <w:r>
        <w:t xml:space="preserve">Formation du personnel</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Formation</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Fréquence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Participants</w:t>
            </w:r>
          </w:p>
        </w:tc>
      </w:tr>
      <w:tr>
        <w:tc>
          <w:tcPr>
            <w:tcW w:type="pct" w:w="33%"/>
            <w:tcMar>
              <w:top w:type="dxa" w:w="70"/>
              <w:left w:type="dxa" w:w="110"/>
              <w:bottom w:type="dxa" w:w="70"/>
              <w:right w:type="dxa" w:w="110"/>
            </w:tcMar>
          </w:tcPr>
          <w:p>
            <w:pPr>
              <w:spacing w:after="0" w:before="0"/>
              <w:jc w:val="left"/>
            </w:pPr>
            <w:r>
              <w:rPr>
                <w:sz w:val="22"/>
                <w:szCs w:val="22"/>
              </w:rPr>
              <w:t xml:space="preserve">Exercice d'évacuation</w:t>
            </w:r>
          </w:p>
        </w:tc>
        <w:tc>
          <w:tcPr>
            <w:tcW w:type="pct" w:w="33%"/>
            <w:tcMar>
              <w:top w:type="dxa" w:w="70"/>
              <w:left w:type="dxa" w:w="110"/>
              <w:bottom w:type="dxa" w:w="70"/>
              <w:right w:type="dxa" w:w="110"/>
            </w:tcMar>
          </w:tcPr>
          <w:p>
            <w:pPr>
              <w:spacing w:after="0" w:before="0"/>
              <w:jc w:val="left"/>
            </w:pPr>
            <w:r>
              <w:rPr>
                <w:sz w:val="22"/>
                <w:szCs w:val="22"/>
              </w:rPr>
              <w:t xml:space="preserve">2 fois/an</w:t>
            </w:r>
          </w:p>
        </w:tc>
        <w:tc>
          <w:tcPr>
            <w:tcW w:type="pct" w:w="33%"/>
            <w:tcMar>
              <w:top w:type="dxa" w:w="70"/>
              <w:left w:type="dxa" w:w="110"/>
              <w:bottom w:type="dxa" w:w="70"/>
              <w:right w:type="dxa" w:w="110"/>
            </w:tcMar>
          </w:tcPr>
          <w:p>
            <w:pPr>
              <w:spacing w:after="0" w:before="0"/>
              <w:jc w:val="left"/>
            </w:pPr>
            <w:r>
              <w:rPr>
                <w:sz w:val="22"/>
                <w:szCs w:val="22"/>
              </w:rPr>
              <w:t xml:space="preserve">Tout le personnel</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Maniement extincteurs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1 fois/an</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Tout le personnel</w:t>
            </w:r>
          </w:p>
        </w:tc>
      </w:tr>
      <w:tr>
        <w:tc>
          <w:tcPr>
            <w:tcW w:type="pct" w:w="33%"/>
            <w:tcMar>
              <w:top w:type="dxa" w:w="70"/>
              <w:left w:type="dxa" w:w="110"/>
              <w:bottom w:type="dxa" w:w="70"/>
              <w:right w:type="dxa" w:w="110"/>
            </w:tcMar>
          </w:tcPr>
          <w:p>
            <w:pPr>
              <w:spacing w:after="0" w:before="0"/>
              <w:jc w:val="left"/>
            </w:pPr>
            <w:r>
              <w:rPr>
                <w:sz w:val="22"/>
                <w:szCs w:val="22"/>
              </w:rPr>
              <w:t xml:space="preserve">Formation EPI niveau 1</w:t>
            </w:r>
          </w:p>
        </w:tc>
        <w:tc>
          <w:tcPr>
            <w:tcW w:type="pct" w:w="33%"/>
            <w:tcMar>
              <w:top w:type="dxa" w:w="70"/>
              <w:left w:type="dxa" w:w="110"/>
              <w:bottom w:type="dxa" w:w="70"/>
              <w:right w:type="dxa" w:w="110"/>
            </w:tcMar>
          </w:tcPr>
          <w:p>
            <w:pPr>
              <w:spacing w:after="0" w:before="0"/>
              <w:jc w:val="left"/>
            </w:pPr>
            <w:r>
              <w:rPr>
                <w:sz w:val="22"/>
                <w:szCs w:val="22"/>
              </w:rPr>
              <w:t xml:space="preserve">Initiale + tous les 3 ans</w:t>
            </w:r>
          </w:p>
        </w:tc>
        <w:tc>
          <w:tcPr>
            <w:tcW w:type="pct" w:w="33%"/>
            <w:tcMar>
              <w:top w:type="dxa" w:w="70"/>
              <w:left w:type="dxa" w:w="110"/>
              <w:bottom w:type="dxa" w:w="70"/>
              <w:right w:type="dxa" w:w="110"/>
            </w:tcMar>
          </w:tcPr>
          <w:p>
            <w:pPr>
              <w:spacing w:after="0" w:before="0"/>
              <w:jc w:val="left"/>
            </w:pPr>
            <w:r>
              <w:rPr>
                <w:sz w:val="22"/>
                <w:szCs w:val="22"/>
              </w:rPr>
              <w:t xml:space="preserve">EPI désignés</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Formation RSI niveau 2</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Initiale + tous les 3 ans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RSI</w:t>
            </w:r>
          </w:p>
        </w:tc>
      </w:tr>
      <w:tr>
        <w:tc>
          <w:tcPr>
            <w:tcW w:type="pct" w:w="33%"/>
            <w:tcMar>
              <w:top w:type="dxa" w:w="70"/>
              <w:left w:type="dxa" w:w="110"/>
              <w:bottom w:type="dxa" w:w="70"/>
              <w:right w:type="dxa" w:w="110"/>
            </w:tcMar>
          </w:tcPr>
          <w:p>
            <w:pPr>
              <w:spacing w:after="0" w:before="0"/>
              <w:jc w:val="left"/>
            </w:pPr>
            <w:r>
              <w:rPr>
                <w:sz w:val="22"/>
                <w:szCs w:val="22"/>
              </w:rPr>
              <w:t xml:space="preserve">PSC1 premiers secours</w:t>
            </w:r>
          </w:p>
        </w:tc>
        <w:tc>
          <w:tcPr>
            <w:tcW w:type="pct" w:w="33%"/>
            <w:tcMar>
              <w:top w:type="dxa" w:w="70"/>
              <w:left w:type="dxa" w:w="110"/>
              <w:bottom w:type="dxa" w:w="70"/>
              <w:right w:type="dxa" w:w="110"/>
            </w:tcMar>
          </w:tcPr>
          <w:p>
            <w:pPr>
              <w:spacing w:after="0" w:before="0"/>
              <w:jc w:val="left"/>
            </w:pPr>
            <w:r>
              <w:rPr>
                <w:sz w:val="22"/>
                <w:szCs w:val="22"/>
              </w:rPr>
              <w:t xml:space="preserve">Initiale + tous les 2 ans</w:t>
            </w:r>
          </w:p>
        </w:tc>
        <w:tc>
          <w:tcPr>
            <w:tcW w:type="pct" w:w="33%"/>
            <w:tcMar>
              <w:top w:type="dxa" w:w="70"/>
              <w:left w:type="dxa" w:w="110"/>
              <w:bottom w:type="dxa" w:w="70"/>
              <w:right w:type="dxa" w:w="110"/>
            </w:tcMar>
          </w:tcPr>
          <w:p>
            <w:pPr>
              <w:spacing w:after="0" w:before="0"/>
              <w:jc w:val="left"/>
            </w:pPr>
            <w:r>
              <w:rPr>
                <w:sz w:val="22"/>
                <w:szCs w:val="22"/>
              </w:rPr>
              <w:t xml:space="preserve">2 par service</w:t>
            </w:r>
          </w:p>
        </w:tc>
      </w:tr>
    </w:tbl>
    <w:p/>
    <w:p/>
    <w:p>
      <w:pPr>
        <w:pBdr>
          <w:bottom w:val="single" w:color="E5E1D8" w:sz="6" w:space="1"/>
        </w:pBdr>
        <w:spacing w:after="120" w:before="120"/>
      </w:pPr>
      <w:r>
        <w:t xml:space="preserve"/>
      </w:r>
    </w:p>
    <w:p/>
    <w:p>
      <w:pPr>
        <w:pStyle w:val="Heading2"/>
      </w:pPr>
      <w:bookmarkStart w:name="nexia_h_183" w:id="1"/>
      <w:r>
        <w:rPr>
          <w:b/>
          <w:bCs/>
        </w:rPr>
        <w:t xml:space="preserve">1.10.  </w:t>
      </w:r>
      <w:r>
        <w:t xml:space="preserve">Plan de Prévention et Permis de Feu</w:t>
      </w:r>
      <w:bookmarkEnd w:id="1"/>
    </w:p>
    <w:p/>
    <w:p>
      <w:pPr>
        <w:pStyle w:val="Heading3"/>
      </w:pPr>
      <w:bookmarkStart w:name="nexia_h_185" w:id="1"/>
      <w:r>
        <w:rPr>
          <w:b/>
          <w:bCs/>
        </w:rPr>
        <w:t xml:space="preserve">1.10.1.  </w:t>
      </w:r>
      <w:r>
        <w:t xml:space="preserve">Permis de feu — Travaux déclencheurs</w:t>
      </w:r>
      <w:bookmarkEnd w:id="1"/>
    </w:p>
    <w:p/>
    <w:p>
      <w:pPr>
        <w:spacing w:after="120" w:line="320"/>
        <w:jc w:val="both"/>
      </w:pPr>
      <w:r>
        <w:t xml:space="preserve">Soudure (arc, TIG, MIG) · Meulage · Chalumeau / décapeur · Tout point chaud à moins de 10 m de matières combustibles.</w:t>
      </w:r>
    </w:p>
    <w:p/>
    <w:p>
      <w:pPr>
        <w:spacing w:after="120" w:line="320"/>
        <w:jc w:val="both"/>
      </w:pPr>
      <w:r>
        <w:rPr>
          <w:b/>
          <w:bCs/>
        </w:rPr>
        <w:t xml:space="preserve">Formulaire de permis de feu :</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Information</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Détail</w:t>
            </w:r>
          </w:p>
        </w:tc>
      </w:tr>
      <w:tr>
        <w:tc>
          <w:tcPr>
            <w:tcW w:type="pct" w:w="50%"/>
            <w:tcMar>
              <w:top w:type="dxa" w:w="70"/>
              <w:left w:type="dxa" w:w="110"/>
              <w:bottom w:type="dxa" w:w="70"/>
              <w:right w:type="dxa" w:w="110"/>
            </w:tcMar>
          </w:tcPr>
          <w:p>
            <w:pPr>
              <w:spacing w:after="0" w:before="0"/>
              <w:jc w:val="left"/>
            </w:pPr>
            <w:r>
              <w:rPr>
                <w:sz w:val="22"/>
                <w:szCs w:val="22"/>
              </w:rPr>
              <w:t xml:space="preserve">Date et durée</w:t>
            </w:r>
          </w:p>
        </w:tc>
        <w:tc>
          <w:tcPr>
            <w:tcW w:type="pct" w:w="50%"/>
            <w:tcMar>
              <w:top w:type="dxa" w:w="70"/>
              <w:left w:type="dxa" w:w="110"/>
              <w:bottom w:type="dxa" w:w="70"/>
              <w:right w:type="dxa" w:w="110"/>
            </w:tcMar>
          </w:tcPr>
          <w:p>
            <w:pPr>
              <w:spacing w:after="0" w:before="0"/>
              <w:jc w:val="left"/>
            </w:pPr>
            <w:r>
              <w:rPr>
                <w:sz w:val="22"/>
                <w:szCs w:val="22"/>
              </w:rPr>
              <w:t xml:space="preserve">Max 1 journée de travail</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Zone d'intervention</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Localisation précise dans l'atelier</w:t>
            </w:r>
          </w:p>
        </w:tc>
      </w:tr>
      <w:tr>
        <w:tc>
          <w:tcPr>
            <w:tcW w:type="pct" w:w="50%"/>
            <w:tcMar>
              <w:top w:type="dxa" w:w="70"/>
              <w:left w:type="dxa" w:w="110"/>
              <w:bottom w:type="dxa" w:w="70"/>
              <w:right w:type="dxa" w:w="110"/>
            </w:tcMar>
          </w:tcPr>
          <w:p>
            <w:pPr>
              <w:spacing w:after="0" w:before="0"/>
              <w:jc w:val="left"/>
            </w:pPr>
            <w:r>
              <w:rPr>
                <w:sz w:val="22"/>
                <w:szCs w:val="22"/>
              </w:rPr>
              <w:t xml:space="preserve">Mesures préventives</w:t>
            </w:r>
          </w:p>
        </w:tc>
        <w:tc>
          <w:tcPr>
            <w:tcW w:type="pct" w:w="50%"/>
            <w:tcMar>
              <w:top w:type="dxa" w:w="70"/>
              <w:left w:type="dxa" w:w="110"/>
              <w:bottom w:type="dxa" w:w="70"/>
              <w:right w:type="dxa" w:w="110"/>
            </w:tcMar>
          </w:tcPr>
          <w:p>
            <w:pPr>
              <w:spacing w:after="0" w:before="0"/>
              <w:jc w:val="left"/>
            </w:pPr>
            <w:r>
              <w:rPr>
                <w:sz w:val="22"/>
                <w:szCs w:val="22"/>
              </w:rPr>
              <w:t xml:space="preserve">Bâche ignifuge, extincteur CO² à portée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Ronde après travaux</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2 h après la fin des travaux</w:t>
            </w:r>
          </w:p>
        </w:tc>
      </w:tr>
      <w:tr>
        <w:tc>
          <w:tcPr>
            <w:tcW w:type="pct" w:w="50%"/>
            <w:tcMar>
              <w:top w:type="dxa" w:w="70"/>
              <w:left w:type="dxa" w:w="110"/>
              <w:bottom w:type="dxa" w:w="70"/>
              <w:right w:type="dxa" w:w="110"/>
            </w:tcMar>
          </w:tcPr>
          <w:p>
            <w:pPr>
              <w:spacing w:after="0" w:before="0"/>
              <w:jc w:val="left"/>
            </w:pPr>
            <w:r>
              <w:rPr>
                <w:sz w:val="22"/>
                <w:szCs w:val="22"/>
              </w:rPr>
              <w:t xml:space="preserve">Signatures</w:t>
            </w:r>
          </w:p>
        </w:tc>
        <w:tc>
          <w:tcPr>
            <w:tcW w:type="pct" w:w="50%"/>
            <w:tcMar>
              <w:top w:type="dxa" w:w="70"/>
              <w:left w:type="dxa" w:w="110"/>
              <w:bottom w:type="dxa" w:w="70"/>
              <w:right w:type="dxa" w:w="110"/>
            </w:tcMar>
          </w:tcPr>
          <w:p>
            <w:pPr>
              <w:spacing w:after="0" w:before="0"/>
              <w:jc w:val="left"/>
            </w:pPr>
            <w:r>
              <w:rPr>
                <w:sz w:val="22"/>
                <w:szCs w:val="22"/>
              </w:rPr>
              <w:t xml:space="preserve">Intervenant + RSI (obligatoires)</w:t>
            </w:r>
          </w:p>
        </w:tc>
      </w:tr>
    </w:tbl>
    <w:p/>
    <w:p/>
    <w:p>
      <w:pPr>
        <w:pStyle w:val="Heading3"/>
      </w:pPr>
      <w:bookmarkStart w:name="nexia_h_193" w:id="1"/>
      <w:r>
        <w:rPr>
          <w:b/>
          <w:bCs/>
        </w:rPr>
        <w:t xml:space="preserve">1.10.2.  </w:t>
      </w:r>
      <w:r>
        <w:t xml:space="preserve">Gestion des déchets combustibles</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gridCol w:w="100"/>
      </w:tblGrid>
      <w:tr>
        <w:trPr>
          <w:tblHeader/>
        </w:trPr>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Déchet</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Fréquence collecte</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Contenant</w:t>
            </w:r>
          </w:p>
        </w:tc>
        <w:tc>
          <w:tcPr>
            <w:tcW w:type="pct" w:w="25%"/>
            <w:shd w:fill="1A1F2E" w:color="auto" w:val="clear"/>
            <w:tcMar>
              <w:top w:type="dxa" w:w="100"/>
              <w:left w:type="dxa" w:w="110"/>
              <w:bottom w:type="dxa" w:w="100"/>
              <w:right w:type="dxa" w:w="110"/>
            </w:tcMar>
          </w:tcPr>
          <w:p>
            <w:pPr>
              <w:spacing w:after="0" w:before="0"/>
              <w:jc w:val="left"/>
            </w:pPr>
            <w:r>
              <w:rPr>
                <w:b/>
                <w:bCs/>
                <w:color w:val="FFFFFF"/>
                <w:sz w:val="22"/>
                <w:szCs w:val="22"/>
              </w:rPr>
              <w:t xml:space="preserve">Emplacement</w:t>
            </w:r>
          </w:p>
        </w:tc>
      </w:tr>
      <w:tr>
        <w:tc>
          <w:tcPr>
            <w:tcW w:type="pct" w:w="25%"/>
            <w:tcMar>
              <w:top w:type="dxa" w:w="70"/>
              <w:left w:type="dxa" w:w="110"/>
              <w:bottom w:type="dxa" w:w="70"/>
              <w:right w:type="dxa" w:w="110"/>
            </w:tcMar>
          </w:tcPr>
          <w:p>
            <w:pPr>
              <w:spacing w:after="0" w:before="0"/>
              <w:jc w:val="left"/>
            </w:pPr>
            <w:r>
              <w:rPr>
                <w:sz w:val="22"/>
                <w:szCs w:val="22"/>
              </w:rPr>
              <w:t xml:space="preserve">Sciures / copeaux</w:t>
            </w:r>
          </w:p>
        </w:tc>
        <w:tc>
          <w:tcPr>
            <w:tcW w:type="pct" w:w="25%"/>
            <w:tcMar>
              <w:top w:type="dxa" w:w="70"/>
              <w:left w:type="dxa" w:w="110"/>
              <w:bottom w:type="dxa" w:w="70"/>
              <w:right w:type="dxa" w:w="110"/>
            </w:tcMar>
          </w:tcPr>
          <w:p>
            <w:pPr>
              <w:spacing w:after="0" w:before="0"/>
              <w:jc w:val="left"/>
            </w:pPr>
            <w:r>
              <w:rPr>
                <w:sz w:val="22"/>
                <w:szCs w:val="22"/>
              </w:rPr>
              <w:t xml:space="preserve">Continue (aspirateur centralisé)</w:t>
            </w:r>
          </w:p>
        </w:tc>
        <w:tc>
          <w:tcPr>
            <w:tcW w:type="pct" w:w="25%"/>
            <w:tcMar>
              <w:top w:type="dxa" w:w="70"/>
              <w:left w:type="dxa" w:w="110"/>
              <w:bottom w:type="dxa" w:w="70"/>
              <w:right w:type="dxa" w:w="110"/>
            </w:tcMar>
          </w:tcPr>
          <w:p>
            <w:pPr>
              <w:spacing w:after="0" w:before="0"/>
              <w:jc w:val="left"/>
            </w:pPr>
            <w:r>
              <w:rPr>
                <w:sz w:val="22"/>
                <w:szCs w:val="22"/>
              </w:rPr>
              <w:t xml:space="preserve">Silo fermé extérieur</w:t>
            </w:r>
          </w:p>
        </w:tc>
        <w:tc>
          <w:tcPr>
            <w:tcW w:type="pct" w:w="25%"/>
            <w:tcMar>
              <w:top w:type="dxa" w:w="70"/>
              <w:left w:type="dxa" w:w="110"/>
              <w:bottom w:type="dxa" w:w="70"/>
              <w:right w:type="dxa" w:w="110"/>
            </w:tcMar>
          </w:tcPr>
          <w:p>
            <w:pPr>
              <w:spacing w:after="0" w:before="0"/>
              <w:jc w:val="left"/>
            </w:pPr>
            <w:r>
              <w:rPr>
                <w:sz w:val="22"/>
                <w:szCs w:val="22"/>
              </w:rPr>
              <w:t xml:space="preserve">Hors bâtiment</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Chiffons solvantés</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Immédiate après usage</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Bidon métallique + couvercle</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Local ventilé</w:t>
            </w:r>
          </w:p>
        </w:tc>
      </w:tr>
      <w:tr>
        <w:tc>
          <w:tcPr>
            <w:tcW w:type="pct" w:w="25%"/>
            <w:tcMar>
              <w:top w:type="dxa" w:w="70"/>
              <w:left w:type="dxa" w:w="110"/>
              <w:bottom w:type="dxa" w:w="70"/>
              <w:right w:type="dxa" w:w="110"/>
            </w:tcMar>
          </w:tcPr>
          <w:p>
            <w:pPr>
              <w:spacing w:after="0" w:before="0"/>
              <w:jc w:val="left"/>
            </w:pPr>
            <w:r>
              <w:rPr>
                <w:sz w:val="22"/>
                <w:szCs w:val="22"/>
              </w:rPr>
              <w:t xml:space="preserve">Chutes bois</w:t>
            </w:r>
          </w:p>
        </w:tc>
        <w:tc>
          <w:tcPr>
            <w:tcW w:type="pct" w:w="25%"/>
            <w:tcMar>
              <w:top w:type="dxa" w:w="70"/>
              <w:left w:type="dxa" w:w="110"/>
              <w:bottom w:type="dxa" w:w="70"/>
              <w:right w:type="dxa" w:w="110"/>
            </w:tcMar>
          </w:tcPr>
          <w:p>
            <w:pPr>
              <w:spacing w:after="0" w:before="0"/>
              <w:jc w:val="left"/>
            </w:pPr>
            <w:r>
              <w:rPr>
                <w:sz w:val="22"/>
                <w:szCs w:val="22"/>
              </w:rPr>
              <w:t xml:space="preserve">Fin de journée</w:t>
            </w:r>
          </w:p>
        </w:tc>
        <w:tc>
          <w:tcPr>
            <w:tcW w:type="pct" w:w="25%"/>
            <w:tcMar>
              <w:top w:type="dxa" w:w="70"/>
              <w:left w:type="dxa" w:w="110"/>
              <w:bottom w:type="dxa" w:w="70"/>
              <w:right w:type="dxa" w:w="110"/>
            </w:tcMar>
          </w:tcPr>
          <w:p>
            <w:pPr>
              <w:spacing w:after="0" w:before="0"/>
              <w:jc w:val="left"/>
            </w:pPr>
            <w:r>
              <w:rPr>
                <w:sz w:val="22"/>
                <w:szCs w:val="22"/>
              </w:rPr>
              <w:t xml:space="preserve">Benne métallique fermée</w:t>
            </w:r>
          </w:p>
        </w:tc>
        <w:tc>
          <w:tcPr>
            <w:tcW w:type="pct" w:w="25%"/>
            <w:tcMar>
              <w:top w:type="dxa" w:w="70"/>
              <w:left w:type="dxa" w:w="110"/>
              <w:bottom w:type="dxa" w:w="70"/>
              <w:right w:type="dxa" w:w="110"/>
            </w:tcMar>
          </w:tcPr>
          <w:p>
            <w:pPr>
              <w:spacing w:after="0" w:before="0"/>
              <w:jc w:val="left"/>
            </w:pPr>
            <w:r>
              <w:rPr>
                <w:sz w:val="22"/>
                <w:szCs w:val="22"/>
              </w:rPr>
              <w:t xml:space="preserve">Extérieur</w:t>
            </w:r>
          </w:p>
        </w:tc>
      </w:tr>
      <w:tr>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Emballages cartons</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Quotidienne</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Benne extérieure</w:t>
            </w:r>
          </w:p>
        </w:tc>
        <w:tc>
          <w:tcPr>
            <w:tcW w:type="pct" w:w="25%"/>
            <w:shd w:fill="FAF7F2" w:color="auto" w:val="clear"/>
            <w:tcMar>
              <w:top w:type="dxa" w:w="70"/>
              <w:left w:type="dxa" w:w="110"/>
              <w:bottom w:type="dxa" w:w="70"/>
              <w:right w:type="dxa" w:w="110"/>
            </w:tcMar>
          </w:tcPr>
          <w:p>
            <w:pPr>
              <w:spacing w:after="0" w:before="0"/>
              <w:jc w:val="left"/>
            </w:pPr>
            <w:r>
              <w:rPr>
                <w:sz w:val="22"/>
                <w:szCs w:val="22"/>
              </w:rPr>
              <w:t xml:space="preserve">≥ 5 m du bâtiment</w:t>
            </w:r>
          </w:p>
        </w:tc>
      </w:tr>
    </w:tbl>
    <w:p/>
    <w:p/>
    <w:p>
      <w:pPr>
        <w:spacing w:after="120" w:line="320"/>
        <w:jc w:val="both"/>
      </w:pPr>
      <w:r>
        <w:t xml:space="preserve">&gt; ⚠️ Les chiffons imbibés d'huile ou de solvant sont susceptibles d'</w:t>
      </w:r>
      <w:r>
        <w:rPr>
          <w:b/>
          <w:bCs/>
        </w:rPr>
        <w:t xml:space="preserve">auto-inflammation</w:t>
      </w:r>
      <w:r>
        <w:t xml:space="preserve"> par oxydation exothermique — bidon métallique fermé IMMÉDIATEMENT après usage.</w:t>
      </w:r>
    </w:p>
    <w:p/>
    <w:p>
      <w:pPr>
        <w:pBdr>
          <w:bottom w:val="single" w:color="E5E1D8" w:sz="6" w:space="1"/>
        </w:pBdr>
        <w:spacing w:after="120" w:before="120"/>
      </w:pPr>
      <w:r>
        <w:t xml:space="preserve"/>
      </w:r>
    </w:p>
    <w:p/>
    <w:p>
      <w:pPr>
        <w:pStyle w:val="Heading2"/>
      </w:pPr>
      <w:bookmarkStart w:name="nexia_h_201" w:id="1"/>
      <w:r>
        <w:rPr>
          <w:b/>
          <w:bCs/>
        </w:rPr>
        <w:t xml:space="preserve">1.11.  </w:t>
      </w:r>
      <w:r>
        <w:t xml:space="preserve">Registre de Sécurité et Contrôles Périodiques</w:t>
      </w:r>
      <w:bookmarkEnd w:id="1"/>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Équipement</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Fréquence</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Intervenant</w:t>
            </w:r>
          </w:p>
        </w:tc>
      </w:tr>
      <w:tr>
        <w:tc>
          <w:tcPr>
            <w:tcW w:type="pct" w:w="33%"/>
            <w:tcMar>
              <w:top w:type="dxa" w:w="70"/>
              <w:left w:type="dxa" w:w="110"/>
              <w:bottom w:type="dxa" w:w="70"/>
              <w:right w:type="dxa" w:w="110"/>
            </w:tcMar>
          </w:tcPr>
          <w:p>
            <w:pPr>
              <w:spacing w:after="0" w:before="0"/>
              <w:jc w:val="left"/>
            </w:pPr>
            <w:r>
              <w:rPr>
                <w:sz w:val="22"/>
                <w:szCs w:val="22"/>
              </w:rPr>
              <w:t xml:space="preserve">Test BAES (1 h)</w:t>
            </w:r>
          </w:p>
        </w:tc>
        <w:tc>
          <w:tcPr>
            <w:tcW w:type="pct" w:w="33%"/>
            <w:tcMar>
              <w:top w:type="dxa" w:w="70"/>
              <w:left w:type="dxa" w:w="110"/>
              <w:bottom w:type="dxa" w:w="70"/>
              <w:right w:type="dxa" w:w="110"/>
            </w:tcMar>
          </w:tcPr>
          <w:p>
            <w:pPr>
              <w:spacing w:after="0" w:before="0"/>
              <w:jc w:val="left"/>
            </w:pPr>
            <w:r>
              <w:rPr>
                <w:sz w:val="22"/>
                <w:szCs w:val="22"/>
              </w:rPr>
              <w:t xml:space="preserve">Mensuel</w:t>
            </w:r>
          </w:p>
        </w:tc>
        <w:tc>
          <w:tcPr>
            <w:tcW w:type="pct" w:w="33%"/>
            <w:tcMar>
              <w:top w:type="dxa" w:w="70"/>
              <w:left w:type="dxa" w:w="110"/>
              <w:bottom w:type="dxa" w:w="70"/>
              <w:right w:type="dxa" w:w="110"/>
            </w:tcMar>
          </w:tcPr>
          <w:p>
            <w:pPr>
              <w:spacing w:after="0" w:before="0"/>
              <w:jc w:val="left"/>
            </w:pPr>
            <w:r>
              <w:rPr>
                <w:sz w:val="22"/>
                <w:szCs w:val="22"/>
              </w:rPr>
              <w:t xml:space="preserve">RSI</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Vérification extincteurs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Mensuel</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RSI</w:t>
            </w:r>
          </w:p>
        </w:tc>
      </w:tr>
      <w:tr>
        <w:tc>
          <w:tcPr>
            <w:tcW w:type="pct" w:w="33%"/>
            <w:tcMar>
              <w:top w:type="dxa" w:w="70"/>
              <w:left w:type="dxa" w:w="110"/>
              <w:bottom w:type="dxa" w:w="70"/>
              <w:right w:type="dxa" w:w="110"/>
            </w:tcMar>
          </w:tcPr>
          <w:p>
            <w:pPr>
              <w:spacing w:after="0" w:before="0"/>
              <w:jc w:val="left"/>
            </w:pPr>
            <w:r>
              <w:rPr>
                <w:sz w:val="22"/>
                <w:szCs w:val="22"/>
              </w:rPr>
              <w:t xml:space="preserve">Vérification RIA (pression)</w:t>
            </w:r>
          </w:p>
        </w:tc>
        <w:tc>
          <w:tcPr>
            <w:tcW w:type="pct" w:w="33%"/>
            <w:tcMar>
              <w:top w:type="dxa" w:w="70"/>
              <w:left w:type="dxa" w:w="110"/>
              <w:bottom w:type="dxa" w:w="70"/>
              <w:right w:type="dxa" w:w="110"/>
            </w:tcMar>
          </w:tcPr>
          <w:p>
            <w:pPr>
              <w:spacing w:after="0" w:before="0"/>
              <w:jc w:val="left"/>
            </w:pPr>
            <w:r>
              <w:rPr>
                <w:sz w:val="22"/>
                <w:szCs w:val="22"/>
              </w:rPr>
              <w:t xml:space="preserve">Mensuel</w:t>
            </w:r>
          </w:p>
        </w:tc>
        <w:tc>
          <w:tcPr>
            <w:tcW w:type="pct" w:w="33%"/>
            <w:tcMar>
              <w:top w:type="dxa" w:w="70"/>
              <w:left w:type="dxa" w:w="110"/>
              <w:bottom w:type="dxa" w:w="70"/>
              <w:right w:type="dxa" w:w="110"/>
            </w:tcMar>
          </w:tcPr>
          <w:p>
            <w:pPr>
              <w:spacing w:after="0" w:before="0"/>
              <w:jc w:val="left"/>
            </w:pPr>
            <w:r>
              <w:rPr>
                <w:sz w:val="22"/>
                <w:szCs w:val="22"/>
              </w:rPr>
              <w:t xml:space="preserve">RSI</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Test DM bris de glace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Mensuel</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RSI</w:t>
            </w:r>
          </w:p>
        </w:tc>
      </w:tr>
      <w:tr>
        <w:tc>
          <w:tcPr>
            <w:tcW w:type="pct" w:w="33%"/>
            <w:tcMar>
              <w:top w:type="dxa" w:w="70"/>
              <w:left w:type="dxa" w:w="110"/>
              <w:bottom w:type="dxa" w:w="70"/>
              <w:right w:type="dxa" w:w="110"/>
            </w:tcMar>
          </w:tcPr>
          <w:p>
            <w:pPr>
              <w:spacing w:after="0" w:before="0"/>
              <w:jc w:val="left"/>
            </w:pPr>
            <w:r>
              <w:rPr>
                <w:sz w:val="22"/>
                <w:szCs w:val="22"/>
              </w:rPr>
              <w:t xml:space="preserve">Test centrale CDI + diffuseurs</w:t>
            </w:r>
          </w:p>
        </w:tc>
        <w:tc>
          <w:tcPr>
            <w:tcW w:type="pct" w:w="33%"/>
            <w:tcMar>
              <w:top w:type="dxa" w:w="70"/>
              <w:left w:type="dxa" w:w="110"/>
              <w:bottom w:type="dxa" w:w="70"/>
              <w:right w:type="dxa" w:w="110"/>
            </w:tcMar>
          </w:tcPr>
          <w:p>
            <w:pPr>
              <w:spacing w:after="0" w:before="0"/>
              <w:jc w:val="left"/>
            </w:pPr>
            <w:r>
              <w:rPr>
                <w:sz w:val="22"/>
                <w:szCs w:val="22"/>
              </w:rPr>
              <w:t xml:space="preserve">Mensuel</w:t>
            </w:r>
          </w:p>
        </w:tc>
        <w:tc>
          <w:tcPr>
            <w:tcW w:type="pct" w:w="33%"/>
            <w:tcMar>
              <w:top w:type="dxa" w:w="70"/>
              <w:left w:type="dxa" w:w="110"/>
              <w:bottom w:type="dxa" w:w="70"/>
              <w:right w:type="dxa" w:w="110"/>
            </w:tcMar>
          </w:tcPr>
          <w:p>
            <w:pPr>
              <w:spacing w:after="0" w:before="0"/>
              <w:jc w:val="left"/>
            </w:pPr>
            <w:r>
              <w:rPr>
                <w:sz w:val="22"/>
                <w:szCs w:val="22"/>
              </w:rPr>
              <w:t xml:space="preserve">RSI</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Exercice d'évacuation</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Semestriel</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RSI + personnel</w:t>
            </w:r>
          </w:p>
        </w:tc>
      </w:tr>
      <w:tr>
        <w:tc>
          <w:tcPr>
            <w:tcW w:type="pct" w:w="33%"/>
            <w:tcMar>
              <w:top w:type="dxa" w:w="70"/>
              <w:left w:type="dxa" w:w="110"/>
              <w:bottom w:type="dxa" w:w="70"/>
              <w:right w:type="dxa" w:w="110"/>
            </w:tcMar>
          </w:tcPr>
          <w:p>
            <w:pPr>
              <w:spacing w:after="0" w:before="0"/>
              <w:jc w:val="left"/>
            </w:pPr>
            <w:r>
              <w:rPr>
                <w:sz w:val="22"/>
                <w:szCs w:val="22"/>
              </w:rPr>
              <w:t xml:space="preserve">Révision extincteurs</w:t>
            </w:r>
          </w:p>
        </w:tc>
        <w:tc>
          <w:tcPr>
            <w:tcW w:type="pct" w:w="33%"/>
            <w:tcMar>
              <w:top w:type="dxa" w:w="70"/>
              <w:left w:type="dxa" w:w="110"/>
              <w:bottom w:type="dxa" w:w="70"/>
              <w:right w:type="dxa" w:w="110"/>
            </w:tcMar>
          </w:tcPr>
          <w:p>
            <w:pPr>
              <w:spacing w:after="0" w:before="0"/>
              <w:jc w:val="left"/>
            </w:pPr>
            <w:r>
              <w:rPr>
                <w:sz w:val="22"/>
                <w:szCs w:val="22"/>
              </w:rPr>
              <w:t xml:space="preserve">Annuelle</w:t>
            </w:r>
          </w:p>
        </w:tc>
        <w:tc>
          <w:tcPr>
            <w:tcW w:type="pct" w:w="33%"/>
            <w:tcMar>
              <w:top w:type="dxa" w:w="70"/>
              <w:left w:type="dxa" w:w="110"/>
              <w:bottom w:type="dxa" w:w="70"/>
              <w:right w:type="dxa" w:w="110"/>
            </w:tcMar>
          </w:tcPr>
          <w:p>
            <w:pPr>
              <w:spacing w:after="0" w:before="0"/>
              <w:jc w:val="left"/>
            </w:pPr>
            <w:r>
              <w:rPr>
                <w:sz w:val="22"/>
                <w:szCs w:val="22"/>
              </w:rPr>
              <w:t xml:space="preserve">Technicien agréé</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Vérification installation électrique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Annuelle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Électricien habilité</w:t>
            </w:r>
          </w:p>
        </w:tc>
      </w:tr>
      <w:tr>
        <w:tc>
          <w:tcPr>
            <w:tcW w:type="pct" w:w="33%"/>
            <w:tcMar>
              <w:top w:type="dxa" w:w="70"/>
              <w:left w:type="dxa" w:w="110"/>
              <w:bottom w:type="dxa" w:w="70"/>
              <w:right w:type="dxa" w:w="110"/>
            </w:tcMar>
          </w:tcPr>
          <w:p>
            <w:pPr>
              <w:spacing w:after="0" w:before="0"/>
              <w:jc w:val="left"/>
            </w:pPr>
            <w:r>
              <w:rPr>
                <w:sz w:val="22"/>
                <w:szCs w:val="22"/>
              </w:rPr>
              <w:t xml:space="preserve">Révision CDI + détecteurs</w:t>
            </w:r>
          </w:p>
        </w:tc>
        <w:tc>
          <w:tcPr>
            <w:tcW w:type="pct" w:w="33%"/>
            <w:tcMar>
              <w:top w:type="dxa" w:w="70"/>
              <w:left w:type="dxa" w:w="110"/>
              <w:bottom w:type="dxa" w:w="70"/>
              <w:right w:type="dxa" w:w="110"/>
            </w:tcMar>
          </w:tcPr>
          <w:p>
            <w:pPr>
              <w:spacing w:after="0" w:before="0"/>
              <w:jc w:val="left"/>
            </w:pPr>
            <w:r>
              <w:rPr>
                <w:sz w:val="22"/>
                <w:szCs w:val="22"/>
              </w:rPr>
              <w:t xml:space="preserve">Annuelle</w:t>
            </w:r>
          </w:p>
        </w:tc>
        <w:tc>
          <w:tcPr>
            <w:tcW w:type="pct" w:w="33%"/>
            <w:tcMar>
              <w:top w:type="dxa" w:w="70"/>
              <w:left w:type="dxa" w:w="110"/>
              <w:bottom w:type="dxa" w:w="70"/>
              <w:right w:type="dxa" w:w="110"/>
            </w:tcMar>
          </w:tcPr>
          <w:p>
            <w:pPr>
              <w:spacing w:after="0" w:before="0"/>
              <w:jc w:val="left"/>
            </w:pPr>
            <w:r>
              <w:rPr>
                <w:sz w:val="22"/>
                <w:szCs w:val="22"/>
              </w:rPr>
              <w:t xml:space="preserve">Mainteneur agréé</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Révision exutoires désenfumage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Annuelle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Mainteneur agréé</w:t>
            </w:r>
          </w:p>
        </w:tc>
      </w:tr>
      <w:tr>
        <w:tc>
          <w:tcPr>
            <w:tcW w:type="pct" w:w="33%"/>
            <w:tcMar>
              <w:top w:type="dxa" w:w="70"/>
              <w:left w:type="dxa" w:w="110"/>
              <w:bottom w:type="dxa" w:w="70"/>
              <w:right w:type="dxa" w:w="110"/>
            </w:tcMar>
          </w:tcPr>
          <w:p>
            <w:pPr>
              <w:spacing w:after="0" w:before="0"/>
              <w:jc w:val="left"/>
            </w:pPr>
            <w:r>
              <w:rPr>
                <w:sz w:val="22"/>
                <w:szCs w:val="22"/>
              </w:rPr>
              <w:t xml:space="preserve">Inspection bureau de contrôle</w:t>
            </w:r>
          </w:p>
        </w:tc>
        <w:tc>
          <w:tcPr>
            <w:tcW w:type="pct" w:w="33%"/>
            <w:tcMar>
              <w:top w:type="dxa" w:w="70"/>
              <w:left w:type="dxa" w:w="110"/>
              <w:bottom w:type="dxa" w:w="70"/>
              <w:right w:type="dxa" w:w="110"/>
            </w:tcMar>
          </w:tcPr>
          <w:p>
            <w:pPr>
              <w:spacing w:after="0" w:before="0"/>
              <w:jc w:val="left"/>
            </w:pPr>
            <w:r>
              <w:rPr>
                <w:sz w:val="22"/>
                <w:szCs w:val="22"/>
              </w:rPr>
              <w:t xml:space="preserve">Tous les 5 ans</w:t>
            </w:r>
          </w:p>
        </w:tc>
        <w:tc>
          <w:tcPr>
            <w:tcW w:type="pct" w:w="33%"/>
            <w:tcMar>
              <w:top w:type="dxa" w:w="70"/>
              <w:left w:type="dxa" w:w="110"/>
              <w:bottom w:type="dxa" w:w="70"/>
              <w:right w:type="dxa" w:w="110"/>
            </w:tcMar>
          </w:tcPr>
          <w:p>
            <w:pPr>
              <w:spacing w:after="0" w:before="0"/>
              <w:jc w:val="left"/>
            </w:pPr>
            <w:r>
              <w:rPr>
                <w:sz w:val="22"/>
                <w:szCs w:val="22"/>
              </w:rPr>
              <w:t xml:space="preserve">Apave / Veritas</w:t>
            </w:r>
          </w:p>
        </w:tc>
      </w:tr>
    </w:tbl>
    <w:p/>
    <w:p/>
    <w:p>
      <w:pPr>
        <w:pBdr>
          <w:bottom w:val="single" w:color="E5E1D8" w:sz="6" w:space="1"/>
        </w:pBdr>
        <w:spacing w:after="120" w:before="120"/>
      </w:pPr>
      <w:r>
        <w:t xml:space="preserve"/>
      </w:r>
    </w:p>
    <w:p/>
    <w:p>
      <w:pPr>
        <w:pStyle w:val="Heading2"/>
      </w:pPr>
      <w:bookmarkStart w:name="nexia_h_207" w:id="1"/>
      <w:r>
        <w:rPr>
          <w:b/>
          <w:bCs/>
        </w:rPr>
        <w:t xml:space="preserve">1.12.  </w:t>
      </w:r>
      <w:r>
        <w:t xml:space="preserve">Conclusion et Engagements</w:t>
      </w:r>
      <w:bookmarkEnd w:id="1"/>
    </w:p>
    <w:p/>
    <w:p>
      <w:pPr>
        <w:spacing w:after="120" w:line="320"/>
        <w:jc w:val="both"/>
      </w:pPr>
      <w:r>
        <w:t xml:space="preserve">La présente notice de sécurité couvre l'intégralité des dispositions réglementaires et techniques applicables à l'atelier de fabrication de portes haut de gamme de Ngoundiane, en conformité avec le décret sénégalais n°2010-99, le Code du Travail, l'arrêté interministériel n°5945 et les normes NF EN 54, NF EN 12101-2 et ISO 7010.</w:t>
      </w:r>
    </w:p>
    <w:p/>
    <w:p>
      <w:pPr>
        <w:spacing w:after="120" w:line="320"/>
        <w:jc w:val="both"/>
      </w:pPr>
      <w:r>
        <w:rPr>
          <w:b/>
          <w:bCs/>
        </w:rPr>
        <w:t xml:space="preserve">Points critiques à traiter en priorité (risques R01, R02, R03) :</w:t>
      </w:r>
    </w:p>
    <w:p>
      <w:pPr>
        <w:spacing w:after="60" w:line="300"/>
        <w:ind w:left="360" w:hanging="360"/>
      </w:pPr>
      <w:r>
        <w:rPr>
          <w:b/>
          <w:bCs/>
        </w:rPr>
        <w:t xml:space="preserve">1.  </w:t>
      </w:r>
      <w:r>
        <w:t xml:space="preserve">Dépoussiérage industriel centralisé — atelier (ATEX St1)</w:t>
      </w:r>
    </w:p>
    <w:p>
      <w:pPr>
        <w:spacing w:after="60" w:line="300"/>
        <w:ind w:left="360" w:hanging="360"/>
      </w:pPr>
      <w:r>
        <w:rPr>
          <w:b/>
          <w:bCs/>
        </w:rPr>
        <w:t xml:space="preserve">2.  </w:t>
      </w:r>
      <w:r>
        <w:t xml:space="preserve">Cabine de vernissage isolée REI 60 — ventilation dédiée</w:t>
      </w:r>
    </w:p>
    <w:p>
      <w:pPr>
        <w:spacing w:after="60" w:line="300"/>
        <w:ind w:left="360" w:hanging="360"/>
      </w:pPr>
      <w:r>
        <w:rPr>
          <w:b/>
          <w:bCs/>
        </w:rPr>
        <w:t xml:space="preserve">3.  </w:t>
      </w:r>
      <w:r>
        <w:t xml:space="preserve">Réserve d'eau incendie 120 m³ — réseau SENELEC-Eau incertain à Ngoundiane</w:t>
      </w:r>
    </w:p>
    <w:p>
      <w:pPr>
        <w:spacing w:after="60" w:line="300"/>
        <w:ind w:left="360" w:hanging="360"/>
      </w:pPr>
      <w:r>
        <w:rPr>
          <w:b/>
          <w:bCs/>
        </w:rPr>
        <w:t xml:space="preserve">4.  </w:t>
      </w:r>
      <w:r>
        <w:t xml:space="preserve">SSI catégorie A adressable — CDI avec télésurveillance GPRS</w:t>
      </w:r>
    </w:p>
    <w:p/>
    <w:p>
      <w:pPr>
        <w:spacing w:after="120" w:line="320"/>
        <w:jc w:val="both"/>
      </w:pPr>
      <w:r>
        <w:rPr>
          <w:i/>
          <w:iCs/>
        </w:rPr>
        <w:t xml:space="preserve">Fait à Ngoundiane (Thiès), le </w:t>
      </w:r>
      <w:r>
        <w:t xml:space="preserve">__________________________</w:t>
      </w:r>
    </w:p>
    <w:p/>
    <w:p>
      <w:pPr>
        <w:spacing w:after="120" w:line="320"/>
        <w:jc w:val="both"/>
      </w:pPr>
      <w:r>
        <w:t xml:space="preserve">Nom et signature du gérant : ___________________________</w:t>
      </w:r>
    </w:p>
    <w:p/>
    <w:p>
      <w:pPr>
        <w:spacing w:after="120" w:line="320"/>
        <w:jc w:val="both"/>
      </w:pPr>
      <w:r>
        <w:t xml:space="preserve">Cachet de l'établissement : ____________________________</w:t>
      </w:r>
    </w:p>
    <w:p/>
    <w:p>
      <w:pPr>
        <w:pBdr>
          <w:bottom w:val="single" w:color="E5E1D8" w:sz="6" w:space="1"/>
        </w:pBdr>
        <w:spacing w:after="120" w:before="120"/>
      </w:pPr>
      <w:r>
        <w:t xml:space="preserve"/>
      </w:r>
    </w:p>
    <w:p/>
    <w:p>
      <w:pPr>
        <w:pStyle w:val="Heading2"/>
      </w:pPr>
      <w:bookmarkStart w:name="nexia_h_225" w:id="1"/>
      <w:r>
        <w:rPr>
          <w:b/>
          <w:bCs/>
        </w:rPr>
        <w:t xml:space="preserve">1.13.  </w:t>
      </w:r>
      <w:r>
        <w:t xml:space="preserve">Bibliographie</w:t>
      </w:r>
      <w:bookmarkEnd w:id="1"/>
    </w:p>
    <w:p/>
    <w:p>
      <w:pPr>
        <w:spacing w:after="60" w:line="300"/>
        <w:ind w:left="360" w:hanging="360"/>
      </w:pPr>
      <w:r>
        <w:rPr>
          <w:b/>
          <w:bCs/>
        </w:rPr>
        <w:t xml:space="preserve">1.  </w:t>
      </w:r>
      <w:r>
        <w:rPr>
          <w:b/>
          <w:bCs/>
        </w:rPr>
        <w:t xml:space="preserve">Décret n°2010-99 du 27 janvier 2010</w:t>
      </w:r>
      <w:r>
        <w:t xml:space="preserve">, Code de la Construction, République du Sénégal.</w:t>
      </w:r>
    </w:p>
    <w:p>
      <w:pPr>
        <w:spacing w:after="60" w:line="300"/>
        <w:ind w:left="360" w:hanging="360"/>
      </w:pPr>
      <w:r>
        <w:rPr>
          <w:b/>
          <w:bCs/>
        </w:rPr>
        <w:t xml:space="preserve">2.  </w:t>
      </w:r>
      <w:r>
        <w:rPr>
          <w:b/>
          <w:bCs/>
        </w:rPr>
        <w:t xml:space="preserve">Décret n°2009-1450 du 30 décembre 2009</w:t>
      </w:r>
      <w:r>
        <w:t xml:space="preserve">, Code de l'Urbanisme, République du Sénégal.</w:t>
      </w:r>
    </w:p>
    <w:p>
      <w:pPr>
        <w:spacing w:after="60" w:line="300"/>
        <w:ind w:left="360" w:hanging="360"/>
      </w:pPr>
      <w:r>
        <w:rPr>
          <w:b/>
          <w:bCs/>
        </w:rPr>
        <w:t xml:space="preserve">3.  </w:t>
      </w:r>
      <w:r>
        <w:rPr>
          <w:b/>
          <w:bCs/>
        </w:rPr>
        <w:t xml:space="preserve">Arrêté interministériel n°5945 du 14 mai 1969</w:t>
      </w:r>
      <w:r>
        <w:t xml:space="preserve">, Sécurité ERP, République du Sénégal.</w:t>
      </w:r>
    </w:p>
    <w:p>
      <w:pPr>
        <w:spacing w:after="60" w:line="300"/>
        <w:ind w:left="360" w:hanging="360"/>
      </w:pPr>
      <w:r>
        <w:rPr>
          <w:b/>
          <w:bCs/>
        </w:rPr>
        <w:t xml:space="preserve">4.  </w:t>
      </w:r>
      <w:r>
        <w:rPr>
          <w:b/>
          <w:bCs/>
        </w:rPr>
        <w:t xml:space="preserve">ISO 7010:2019</w:t>
      </w:r>
      <w:r>
        <w:t xml:space="preserve">, </w:t>
      </w:r>
      <w:r>
        <w:rPr>
          <w:i/>
          <w:iCs/>
        </w:rPr>
        <w:t xml:space="preserve">Symboles graphiques — Couleurs de sécurité et signaux de sécurité</w:t>
      </w:r>
      <w:r>
        <w:t xml:space="preserve">, ISO.</w:t>
      </w:r>
    </w:p>
    <w:p>
      <w:pPr>
        <w:spacing w:after="60" w:line="300"/>
        <w:ind w:left="360" w:hanging="360"/>
      </w:pPr>
      <w:r>
        <w:rPr>
          <w:b/>
          <w:bCs/>
        </w:rPr>
        <w:t xml:space="preserve">5.  </w:t>
      </w:r>
      <w:r>
        <w:rPr>
          <w:b/>
          <w:bCs/>
        </w:rPr>
        <w:t xml:space="preserve">NF X 08-070</w:t>
      </w:r>
      <w:r>
        <w:t xml:space="preserve">, </w:t>
      </w:r>
      <w:r>
        <w:rPr>
          <w:i/>
          <w:iCs/>
        </w:rPr>
        <w:t xml:space="preserve">Plans de sécurité incendie — Conception et implantation</w:t>
      </w:r>
      <w:r>
        <w:t xml:space="preserve">, AFNOR.</w:t>
      </w:r>
    </w:p>
    <w:p>
      <w:pPr>
        <w:spacing w:after="60" w:line="300"/>
        <w:ind w:left="360" w:hanging="360"/>
      </w:pPr>
      <w:r>
        <w:rPr>
          <w:b/>
          <w:bCs/>
        </w:rPr>
        <w:t xml:space="preserve">6.  </w:t>
      </w:r>
      <w:r>
        <w:rPr>
          <w:b/>
          <w:bCs/>
        </w:rPr>
        <w:t xml:space="preserve">NF EN 54</w:t>
      </w:r>
      <w:r>
        <w:t xml:space="preserve"> (série), </w:t>
      </w:r>
      <w:r>
        <w:rPr>
          <w:i/>
          <w:iCs/>
        </w:rPr>
        <w:t xml:space="preserve">Systèmes de détection et d'alarme incendie</w:t>
      </w:r>
      <w:r>
        <w:t xml:space="preserve">, AFNOR.</w:t>
      </w:r>
    </w:p>
    <w:p>
      <w:pPr>
        <w:spacing w:after="60" w:line="300"/>
        <w:ind w:left="360" w:hanging="360"/>
      </w:pPr>
      <w:r>
        <w:rPr>
          <w:b/>
          <w:bCs/>
        </w:rPr>
        <w:t xml:space="preserve">7.  </w:t>
      </w:r>
      <w:r>
        <w:rPr>
          <w:b/>
          <w:bCs/>
        </w:rPr>
        <w:t xml:space="preserve">NF S 61-919</w:t>
      </w:r>
      <w:r>
        <w:t xml:space="preserve">, </w:t>
      </w:r>
      <w:r>
        <w:rPr>
          <w:i/>
          <w:iCs/>
        </w:rPr>
        <w:t xml:space="preserve">Systèmes de détection incendie — Règles d'installation</w:t>
      </w:r>
      <w:r>
        <w:t xml:space="preserve">, AFNOR.</w:t>
      </w:r>
    </w:p>
    <w:p>
      <w:pPr>
        <w:spacing w:after="60" w:line="300"/>
        <w:ind w:left="360" w:hanging="360"/>
      </w:pPr>
      <w:r>
        <w:rPr>
          <w:b/>
          <w:bCs/>
        </w:rPr>
        <w:t xml:space="preserve">8.  </w:t>
      </w:r>
      <w:r>
        <w:rPr>
          <w:b/>
          <w:bCs/>
        </w:rPr>
        <w:t xml:space="preserve">NF S 61-937</w:t>
      </w:r>
      <w:r>
        <w:t xml:space="preserve">, </w:t>
      </w:r>
      <w:r>
        <w:rPr>
          <w:i/>
          <w:iCs/>
        </w:rPr>
        <w:t xml:space="preserve">Systèmes de mise en sécurité incendie</w:t>
      </w:r>
      <w:r>
        <w:t xml:space="preserve">, AFNOR.</w:t>
      </w:r>
    </w:p>
    <w:p>
      <w:pPr>
        <w:spacing w:after="60" w:line="300"/>
        <w:ind w:left="360" w:hanging="360"/>
      </w:pPr>
      <w:r>
        <w:rPr>
          <w:b/>
          <w:bCs/>
        </w:rPr>
        <w:t xml:space="preserve">9.  </w:t>
      </w:r>
      <w:r>
        <w:rPr>
          <w:b/>
          <w:bCs/>
        </w:rPr>
        <w:t xml:space="preserve">NF EN 12101-2</w:t>
      </w:r>
      <w:r>
        <w:t xml:space="preserve">, </w:t>
      </w:r>
      <w:r>
        <w:rPr>
          <w:i/>
          <w:iCs/>
        </w:rPr>
        <w:t xml:space="preserve">Exutoires de fumée et de chaleur naturels</w:t>
      </w:r>
      <w:r>
        <w:t xml:space="preserve">, AFNOR.</w:t>
      </w:r>
    </w:p>
    <w:p>
      <w:pPr>
        <w:spacing w:after="60" w:line="300"/>
        <w:ind w:left="360" w:hanging="360"/>
      </w:pPr>
      <w:r>
        <w:rPr>
          <w:b/>
          <w:bCs/>
        </w:rPr>
        <w:t xml:space="preserve">10.  </w:t>
      </w:r>
      <w:r>
        <w:rPr>
          <w:b/>
          <w:bCs/>
        </w:rPr>
        <w:t xml:space="preserve">NF EN 671-1/2</w:t>
      </w:r>
      <w:r>
        <w:t xml:space="preserve">, </w:t>
      </w:r>
      <w:r>
        <w:rPr>
          <w:i/>
          <w:iCs/>
        </w:rPr>
        <w:t xml:space="preserve">Robinets d'incendie armés</w:t>
      </w:r>
      <w:r>
        <w:t xml:space="preserve">, AFNOR.</w:t>
      </w:r>
    </w:p>
    <w:p>
      <w:pPr>
        <w:spacing w:after="60" w:line="300"/>
        <w:ind w:left="360" w:hanging="360"/>
      </w:pPr>
      <w:r>
        <w:rPr>
          <w:b/>
          <w:bCs/>
        </w:rPr>
        <w:t xml:space="preserve">11.  </w:t>
      </w:r>
      <w:r>
        <w:rPr>
          <w:b/>
          <w:bCs/>
        </w:rPr>
        <w:t xml:space="preserve">NF EN 3-7</w:t>
      </w:r>
      <w:r>
        <w:t xml:space="preserve">, </w:t>
      </w:r>
      <w:r>
        <w:rPr>
          <w:i/>
          <w:iCs/>
        </w:rPr>
        <w:t xml:space="preserve">Extincteurs portatifs</w:t>
      </w:r>
      <w:r>
        <w:t xml:space="preserve">, AFNOR.</w:t>
      </w:r>
    </w:p>
    <w:p>
      <w:pPr>
        <w:spacing w:after="60" w:line="300"/>
        <w:ind w:left="360" w:hanging="360"/>
      </w:pPr>
      <w:r>
        <w:rPr>
          <w:b/>
          <w:bCs/>
        </w:rPr>
        <w:t xml:space="preserve">12.  </w:t>
      </w:r>
      <w:r>
        <w:rPr>
          <w:b/>
          <w:bCs/>
        </w:rPr>
        <w:t xml:space="preserve">NF EN 1838</w:t>
      </w:r>
      <w:r>
        <w:t xml:space="preserve">, </w:t>
      </w:r>
      <w:r>
        <w:rPr>
          <w:i/>
          <w:iCs/>
        </w:rPr>
        <w:t xml:space="preserve">Éclairage de sécurité — BAES</w:t>
      </w:r>
      <w:r>
        <w:t xml:space="preserve">, AFNOR.</w:t>
      </w:r>
    </w:p>
    <w:p>
      <w:pPr>
        <w:spacing w:after="60" w:line="300"/>
        <w:ind w:left="360" w:hanging="360"/>
      </w:pPr>
      <w:r>
        <w:rPr>
          <w:b/>
          <w:bCs/>
        </w:rPr>
        <w:t xml:space="preserve">13.  </w:t>
      </w:r>
      <w:r>
        <w:rPr>
          <w:b/>
          <w:bCs/>
        </w:rPr>
        <w:t xml:space="preserve">ISO 45001:2018</w:t>
      </w:r>
      <w:r>
        <w:t xml:space="preserve">, </w:t>
      </w:r>
      <w:r>
        <w:rPr>
          <w:i/>
          <w:iCs/>
        </w:rPr>
        <w:t xml:space="preserve">Management de la santé et sécurité au travail</w:t>
      </w:r>
      <w:r>
        <w:t xml:space="preserve">, ISO.</w:t>
      </w:r>
    </w:p>
    <w:p>
      <w:pPr>
        <w:spacing w:after="60" w:line="300"/>
        <w:ind w:left="360" w:hanging="360"/>
      </w:pPr>
      <w:r>
        <w:rPr>
          <w:b/>
          <w:bCs/>
        </w:rPr>
        <w:t xml:space="preserve">14.  </w:t>
      </w:r>
      <w:r>
        <w:rPr>
          <w:b/>
          <w:bCs/>
        </w:rPr>
        <w:t xml:space="preserve">INRS TJ 20</w:t>
      </w:r>
      <w:r>
        <w:t xml:space="preserve">, </w:t>
      </w:r>
      <w:r>
        <w:rPr>
          <w:i/>
          <w:iCs/>
        </w:rPr>
        <w:t xml:space="preserve">Prévention des incendies sur les lieux de travail</w:t>
      </w:r>
      <w:r>
        <w:t xml:space="preserve">, INRS.</w:t>
      </w:r>
    </w:p>
    <w:p>
      <w:pPr>
        <w:spacing w:after="60" w:line="300"/>
        <w:ind w:left="360" w:hanging="360"/>
      </w:pPr>
      <w:r>
        <w:rPr>
          <w:b/>
          <w:bCs/>
        </w:rPr>
        <w:t xml:space="preserve">15.  </w:t>
      </w:r>
      <w:r>
        <w:rPr>
          <w:b/>
          <w:bCs/>
        </w:rPr>
        <w:t xml:space="preserve">Vigilus Groupe SA</w:t>
      </w:r>
      <w:r>
        <w:t xml:space="preserve">, </w:t>
      </w:r>
      <w:r>
        <w:rPr>
          <w:i/>
          <w:iCs/>
        </w:rPr>
        <w:t xml:space="preserve">Obligations légales sécurité incendie Sénégal</w:t>
      </w:r>
      <w:r>
        <w:t xml:space="preserve">, 2024.</w:t>
      </w:r>
    </w:p>
    <w:p/>
    <w:p>
      <w:pPr>
        <w:pBdr>
          <w:bottom w:val="single" w:color="E5E1D8" w:sz="6" w:space="1"/>
        </w:pBdr>
        <w:spacing w:after="120" w:before="120"/>
      </w:pPr>
      <w:r>
        <w:t xml:space="preserve"/>
      </w:r>
    </w:p>
    <w:p/>
    <w:p>
      <w:pPr>
        <w:pStyle w:val="Heading2"/>
      </w:pPr>
      <w:bookmarkStart w:name="nexia_h_245" w:id="1"/>
      <w:r>
        <w:rPr>
          <w:b/>
          <w:bCs/>
        </w:rPr>
        <w:t xml:space="preserve">1.14.  </w:t>
      </w:r>
      <w:r>
        <w:t xml:space="preserve">Glossaire</w:t>
      </w:r>
      <w:bookmarkEnd w:id="1"/>
    </w:p>
    <w:p/>
    <w:p>
      <w:pPr>
        <w:pStyle w:val="ListParagraph"/>
        <w:numPr>
          <w:ilvl w:val="0"/>
          <w:numId w:val="1"/>
        </w:numPr>
        <w:spacing w:line="300"/>
      </w:pPr>
      <w:r>
        <w:rPr>
          <w:b/>
          <w:bCs/>
        </w:rPr>
        <w:t xml:space="preserve">ATEX</w:t>
      </w:r>
      <w:r>
        <w:t xml:space="preserve"> : ATmosphère EXplosive — mélange air/poussières combustibles susceptible de s'enflammer.</w:t>
      </w:r>
    </w:p>
    <w:p>
      <w:pPr>
        <w:pStyle w:val="ListParagraph"/>
        <w:numPr>
          <w:ilvl w:val="0"/>
          <w:numId w:val="1"/>
        </w:numPr>
        <w:spacing w:line="300"/>
      </w:pPr>
      <w:r>
        <w:rPr>
          <w:b/>
          <w:bCs/>
        </w:rPr>
        <w:t xml:space="preserve">BAES</w:t>
      </w:r>
      <w:r>
        <w:t xml:space="preserve"> : Bloc Autonome d'Éclairage de Sécurité — autonomie 1 heure minimum.</w:t>
      </w:r>
    </w:p>
    <w:p>
      <w:pPr>
        <w:pStyle w:val="ListParagraph"/>
        <w:numPr>
          <w:ilvl w:val="0"/>
          <w:numId w:val="1"/>
        </w:numPr>
        <w:spacing w:line="300"/>
      </w:pPr>
      <w:r>
        <w:rPr>
          <w:b/>
          <w:bCs/>
        </w:rPr>
        <w:t xml:space="preserve">CDI</w:t>
      </w:r>
      <w:r>
        <w:t xml:space="preserve"> : Centrale de Détection Incendie — cerveau du système SSI.</w:t>
      </w:r>
    </w:p>
    <w:p>
      <w:pPr>
        <w:pStyle w:val="ListParagraph"/>
        <w:numPr>
          <w:ilvl w:val="0"/>
          <w:numId w:val="1"/>
        </w:numPr>
        <w:spacing w:line="300"/>
      </w:pPr>
      <w:r>
        <w:rPr>
          <w:b/>
          <w:bCs/>
        </w:rPr>
        <w:t xml:space="preserve">CF</w:t>
      </w:r>
      <w:r>
        <w:t xml:space="preserve"> : Coupe-Feu — porte ou paroi résistant au feu (EI 60, EI 120).</w:t>
      </w:r>
    </w:p>
    <w:p>
      <w:pPr>
        <w:pStyle w:val="ListParagraph"/>
        <w:numPr>
          <w:ilvl w:val="0"/>
          <w:numId w:val="1"/>
        </w:numPr>
        <w:spacing w:line="300"/>
      </w:pPr>
      <w:r>
        <w:rPr>
          <w:b/>
          <w:bCs/>
        </w:rPr>
        <w:t xml:space="preserve">DM</w:t>
      </w:r>
      <w:r>
        <w:t xml:space="preserve"> : Déclencheur Manuel — bris de glace rouge déclenchant l'alarme.</w:t>
      </w:r>
    </w:p>
    <w:p>
      <w:pPr>
        <w:pStyle w:val="ListParagraph"/>
        <w:numPr>
          <w:ilvl w:val="0"/>
          <w:numId w:val="1"/>
        </w:numPr>
        <w:spacing w:line="300"/>
      </w:pPr>
      <w:r>
        <w:rPr>
          <w:b/>
          <w:bCs/>
        </w:rPr>
        <w:t xml:space="preserve">EPI (équipier)</w:t>
      </w:r>
      <w:r>
        <w:t xml:space="preserve"> : Équipier de Première Intervention — formé à l'attaque initiale.</w:t>
      </w:r>
    </w:p>
    <w:p>
      <w:pPr>
        <w:pStyle w:val="ListParagraph"/>
        <w:numPr>
          <w:ilvl w:val="0"/>
          <w:numId w:val="1"/>
        </w:numPr>
        <w:spacing w:line="300"/>
      </w:pPr>
      <w:r>
        <w:rPr>
          <w:b/>
          <w:bCs/>
        </w:rPr>
        <w:t xml:space="preserve">ERP</w:t>
      </w:r>
      <w:r>
        <w:t xml:space="preserve"> : Établissement Recevant du Public — showroom = Type M, 5e catégorie.</w:t>
      </w:r>
    </w:p>
    <w:p>
      <w:pPr>
        <w:pStyle w:val="ListParagraph"/>
        <w:numPr>
          <w:ilvl w:val="0"/>
          <w:numId w:val="1"/>
        </w:numPr>
        <w:spacing w:line="300"/>
      </w:pPr>
      <w:r>
        <w:rPr>
          <w:b/>
          <w:bCs/>
        </w:rPr>
        <w:t xml:space="preserve">ISO 7010</w:t>
      </w:r>
      <w:r>
        <w:t xml:space="preserve"> : Norme internationale de signalétique de sécurité.</w:t>
      </w:r>
    </w:p>
    <w:p>
      <w:pPr>
        <w:pStyle w:val="ListParagraph"/>
        <w:numPr>
          <w:ilvl w:val="0"/>
          <w:numId w:val="1"/>
        </w:numPr>
        <w:spacing w:line="300"/>
      </w:pPr>
      <w:r>
        <w:rPr>
          <w:b/>
          <w:bCs/>
        </w:rPr>
        <w:t xml:space="preserve">PCI</w:t>
      </w:r>
      <w:r>
        <w:t xml:space="preserve"> : Pouvoir Calorifique Inférieur — chaleur dégagée par kg de matière brûlée.</w:t>
      </w:r>
    </w:p>
    <w:p>
      <w:pPr>
        <w:pStyle w:val="ListParagraph"/>
        <w:numPr>
          <w:ilvl w:val="0"/>
          <w:numId w:val="1"/>
        </w:numPr>
        <w:spacing w:line="300"/>
      </w:pPr>
      <w:r>
        <w:rPr>
          <w:b/>
          <w:bCs/>
        </w:rPr>
        <w:t xml:space="preserve">REI</w:t>
      </w:r>
      <w:r>
        <w:t xml:space="preserve"> : Résistance/Étanchéité/Isolation — classement résistance au feu en minutes.</w:t>
      </w:r>
    </w:p>
    <w:p>
      <w:pPr>
        <w:pStyle w:val="ListParagraph"/>
        <w:numPr>
          <w:ilvl w:val="0"/>
          <w:numId w:val="1"/>
        </w:numPr>
        <w:spacing w:line="300"/>
      </w:pPr>
      <w:r>
        <w:rPr>
          <w:b/>
          <w:bCs/>
        </w:rPr>
        <w:t xml:space="preserve">RIA</w:t>
      </w:r>
      <w:r>
        <w:t xml:space="preserve"> : Robinet d'Incendie Armé — poste fixe eau DN 19.</w:t>
      </w:r>
    </w:p>
    <w:p>
      <w:pPr>
        <w:pStyle w:val="ListParagraph"/>
        <w:numPr>
          <w:ilvl w:val="0"/>
          <w:numId w:val="1"/>
        </w:numPr>
        <w:spacing w:line="300"/>
      </w:pPr>
      <w:r>
        <w:rPr>
          <w:b/>
          <w:bCs/>
        </w:rPr>
        <w:t xml:space="preserve">RSI</w:t>
      </w:r>
      <w:r>
        <w:t xml:space="preserve"> : Responsable Sécurité Incendie — désigné nominativement par le gérant.</w:t>
      </w:r>
    </w:p>
    <w:p>
      <w:pPr>
        <w:pStyle w:val="ListParagraph"/>
        <w:numPr>
          <w:ilvl w:val="0"/>
          <w:numId w:val="1"/>
        </w:numPr>
        <w:spacing w:line="300"/>
      </w:pPr>
      <w:r>
        <w:rPr>
          <w:b/>
          <w:bCs/>
        </w:rPr>
        <w:t xml:space="preserve">SMSI</w:t>
      </w:r>
      <w:r>
        <w:t xml:space="preserve"> : Système de Mise en Sécurité Incendie — commande désenfumage + CF.</w:t>
      </w:r>
    </w:p>
    <w:p>
      <w:pPr>
        <w:pStyle w:val="ListParagraph"/>
        <w:numPr>
          <w:ilvl w:val="0"/>
          <w:numId w:val="1"/>
        </w:numPr>
        <w:spacing w:line="300"/>
      </w:pPr>
      <w:r>
        <w:rPr>
          <w:b/>
          <w:bCs/>
        </w:rPr>
        <w:t xml:space="preserve">SSI</w:t>
      </w:r>
      <w:r>
        <w:t xml:space="preserve"> : Système de Sécurité Incendie = SDI (détection) + SMSI (mise en sécurité).</w:t>
      </w:r>
    </w:p>
    <w:p>
      <w:pPr>
        <w:pStyle w:val="ListParagraph"/>
        <w:numPr>
          <w:ilvl w:val="0"/>
          <w:numId w:val="1"/>
        </w:numPr>
        <w:spacing w:line="300"/>
      </w:pPr>
      <w:r>
        <w:rPr>
          <w:b/>
          <w:bCs/>
        </w:rPr>
        <w:t xml:space="preserve">UP</w:t>
      </w:r>
      <w:r>
        <w:t xml:space="preserve"> : Unité de Passage — 0,60 m de largeur libre, base de calcul des issues.</w:t>
      </w:r>
    </w:p>
    <w:p/>
    <w:p>
      <w:pPr>
        <w:pBdr>
          <w:bottom w:val="single" w:color="E5E1D8" w:sz="6" w:space="1"/>
        </w:pBdr>
        <w:spacing w:after="120" w:before="120"/>
      </w:pPr>
      <w:r>
        <w:t xml:space="preserve"/>
      </w:r>
    </w:p>
    <w:p/>
    <w:p>
      <w:pPr>
        <w:spacing w:after="120" w:line="320"/>
        <w:jc w:val="both"/>
      </w:pPr>
      <w:r>
        <w:t xml:space="preserve">&gt; ⚠️ </w:t>
      </w:r>
      <w:r>
        <w:rPr>
          <w:b/>
          <w:bCs/>
        </w:rPr>
        <w:t xml:space="preserve">Note de responsabilité</w:t>
      </w:r>
      <w:r>
        <w:t xml:space="preserve"> &gt; Cette notice de sécurité est un document de référence établi sur la base des textes réglementaires sénégalais en vigueur au 17 août 2026. Elle doit être validée par un </w:t>
      </w:r>
      <w:r>
        <w:rPr>
          <w:b/>
          <w:bCs/>
        </w:rPr>
        <w:t xml:space="preserve">technicien ou ingénieur en sécurité incendie agréé par le Ministère de l'Intérieur sénégalais</w:t>
      </w:r>
      <w:r>
        <w:t xml:space="preserve"> avant toute mise en service. Les plans et schémas sont indicatifs et doivent être complétés par un levé sur site. NEXIA — ORION-TEK. Ne constitue pas un acte certifié.</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0A020" w:sz="6" w:space="4"/>
      </w:pBdr>
      <w:tabs>
        <w:tab w:val="right" w:pos="9072"/>
      </w:tabs>
      <w:spacing w:after="0" w:before="0"/>
    </w:pPr>
    <w:r>
      <w:rPr>
        <w:color w:val="6B7280"/>
        <w:sz w:val="16"/>
        <w:szCs w:val="16"/>
      </w:rPr>
      <w:t xml:space="preserve">NOTICE-SECURITE-DETAILLEE-ATELIER-20260817-A</w:t>
    </w:r>
    <w:r>
      <w:rPr>
        <w:sz w:val="16"/>
        <w:szCs w:val="16"/>
      </w:rPr>
      <w:t xml:space="preserve">	</w:t>
    </w:r>
    <w:r>
      <w:rPr>
        <w:color w:val="9CA3AF"/>
        <w:sz w:val="16"/>
        <w:szCs w:val="16"/>
      </w:rPr>
      <w:t xml:space="preserve">Page </w:t>
    </w:r>
    <w:r>
      <w:rPr>
        <w:b/>
        <w:bCs/>
        <w:color w:val="1A1F2E"/>
        <w:sz w:val="16"/>
        <w:szCs w:val="16"/>
      </w:rPr>
      <w:fldChar w:fldCharType="begin"/>
      <w:instrText xml:space="preserve">PAGE</w:instrText>
      <w:fldChar w:fldCharType="separate"/>
      <w:fldChar w:fldCharType="end"/>
    </w:r>
    <w:r>
      <w:rPr>
        <w:color w:val="9CA3AF"/>
        <w:sz w:val="16"/>
        <w:szCs w:val="16"/>
      </w:rPr>
      <w:t xml:space="preserve"> / </w:t>
    </w:r>
    <w:r>
      <w:rPr>
        <w:b/>
        <w:bCs/>
        <w:color w:val="1A1F2E"/>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CA3AF"/>
        <w:sz w:val="18"/>
        <w:szCs w:val="18"/>
      </w:rPr>
      <w:t xml:space="preserve">Notice de Sécurité Détaillée — Atelier Portes Ngoundiane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80" w:before="360"/>
    </w:pPr>
    <w:rPr>
      <w:rFonts w:ascii="Calibri" w:cs="Calibri" w:eastAsia="Calibri" w:hAnsi="Calibri"/>
      <w:b/>
      <w:bCs/>
      <w:color w:val="1A1F2E"/>
      <w:sz w:val="36"/>
      <w:szCs w:val="36"/>
    </w:rPr>
  </w:style>
  <w:style w:type="paragraph" w:styleId="Heading2">
    <w:name w:val="Heading 2"/>
    <w:basedOn w:val="Normal"/>
    <w:next w:val="Normal"/>
    <w:qFormat/>
    <w:pPr>
      <w:spacing w:after="140" w:before="280"/>
    </w:pPr>
    <w:rPr>
      <w:rFonts w:ascii="Calibri" w:cs="Calibri" w:eastAsia="Calibri" w:hAnsi="Calibri"/>
      <w:b/>
      <w:bCs/>
      <w:color w:val="1A1F2E"/>
      <w:sz w:val="28"/>
      <w:szCs w:val="28"/>
    </w:rPr>
  </w:style>
  <w:style w:type="paragraph" w:styleId="Heading3">
    <w:name w:val="Heading 3"/>
    <w:basedOn w:val="Normal"/>
    <w:next w:val="Normal"/>
    <w:qFormat/>
    <w:pPr>
      <w:spacing w:after="100" w:before="220"/>
    </w:pPr>
    <w:rPr>
      <w:rFonts w:ascii="Calibri" w:cs="Calibri" w:eastAsia="Calibri" w:hAnsi="Calibri"/>
      <w:b/>
      <w:bCs/>
      <w:color w:val="2C3344"/>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16250cfefa5be3126b6981eec4fc3640fccf0c51.png"/><Relationship Id="rId12" Type="http://schemas.openxmlformats.org/officeDocument/2006/relationships/image" Target="media/fb6eefdc9f1de01990640fd2558149d4b9586047.png"/><Relationship Id="rId13" Type="http://schemas.openxmlformats.org/officeDocument/2006/relationships/image" Target="media/d78cc4d0aa5a48e83608983f55b390a5d1f2aeff.png"/><Relationship Id="rId14" Type="http://schemas.openxmlformats.org/officeDocument/2006/relationships/image" Target="media/f76b95323bef1632395ec7d61543335c07148df7.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de Sécurité Détaillée — Atelier Portes Ngoundiane</dc:title>
  <dc:creator>Notice de Sécurité Détaillée — Atelier Portes Ngoundiane</dc:creator>
  <dc:description>Notice de Sécurité Détaillée — Atelier Portes Ngoundiane</dc:description>
  <cp:lastModifiedBy>Un-named</cp:lastModifiedBy>
  <cp:revision>1</cp:revision>
  <dcterms:created xsi:type="dcterms:W3CDTF">2026-08-17T15:16:54.721Z</dcterms:created>
  <dcterms:modified xsi:type="dcterms:W3CDTF">2026-08-17T15:16:54.721Z</dcterms:modified>
</cp:coreProperties>
</file>

<file path=docProps/custom.xml><?xml version="1.0" encoding="utf-8"?>
<Properties xmlns="http://schemas.openxmlformats.org/officeDocument/2006/custom-properties" xmlns:vt="http://schemas.openxmlformats.org/officeDocument/2006/docPropsVTypes"/>
</file>