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top w:val="single" w:color="F0A020" w:sz="24" w:space="1"/>
        </w:pBdr>
        <w:spacing w:after="0" w:before="0"/>
      </w:pPr>
      <w:r>
        <w:t xml:space="preserve"/>
      </w:r>
    </w:p>
    <w:p>
      <w:pPr>
        <w:spacing w:after="0" w:before="3000"/>
      </w:pPr>
    </w:p>
    <w:p>
      <w:pPr>
        <w:spacing w:after="200" w:before="0"/>
        <w:jc w:val="center"/>
      </w:pPr>
      <w:r>
        <w:rPr>
          <w:b/>
          <w:bCs/>
          <w:color w:val="1A1F2E"/>
          <w:sz w:val="56"/>
          <w:szCs w:val="56"/>
        </w:rPr>
        <w:t xml:space="preserve">Fire Safety Notice — Premium Door Workshop — Ngoundiane</w:t>
      </w:r>
    </w:p>
    <w:p>
      <w:pPr>
        <w:pBdr>
          <w:bottom w:val="single" w:color="F0A020" w:sz="8" w:space="4"/>
        </w:pBdr>
        <w:spacing w:after="1400" w:before="0"/>
        <w:jc w:val="center"/>
      </w:pPr>
      <w:r>
        <w:t xml:space="preserve"/>
      </w:r>
    </w:p>
    <w:tbl>
      <w:tblPr>
        <w:tblW w:type="pct" w:w="80%"/>
        <w:jc w:val="center"/>
        <w:tblBorders>
          <w:top w:val="single" w:color="E5E1D8" w:sz="4"/>
          <w:left w:val="none" w:color="FFFFFF" w:sz="0"/>
          <w:bottom w:val="single" w:color="E5E1D8" w:sz="4"/>
          <w:right w:val="none" w:color="FFFFFF" w:sz="0"/>
          <w:insideH w:val="single" w:color="E5E1D8" w:sz="4"/>
          <w:insideV w:val="none" w:color="FFFFFF" w:sz="0"/>
        </w:tblBorders>
      </w:tblPr>
      <w:tblGrid>
        <w:gridCol w:w="100"/>
        <w:gridCol w:w="100"/>
      </w:tblGrid>
      <w:tr>
        <w:tc>
          <w:tcPr>
            <w:tcW w:type="pct" w:w="38%"/>
            <w:shd w:fill="FAF7F2" w:color="auto" w:val="clear"/>
            <w:tcMar>
              <w:top w:type="dxa" w:w="140"/>
              <w:left w:type="dxa" w:w="220"/>
              <w:bottom w:type="dxa" w:w="140"/>
              <w:right w:type="dxa" w:w="140"/>
            </w:tcMar>
          </w:tcPr>
          <w:p>
            <w:pPr>
              <w:spacing w:after="0" w:before="0"/>
            </w:pPr>
            <w:r>
              <w:rPr>
                <w:b/>
                <w:bCs/>
                <w:color w:val="6B7280"/>
                <w:sz w:val="18"/>
                <w:szCs w:val="18"/>
              </w:rPr>
              <w:t xml:space="preserve">RÉFÉRENCE DOCUMENT</w:t>
            </w:r>
          </w:p>
        </w:tc>
        <w:tc>
          <w:tcPr>
            <w:tcW w:type="pct" w:w="62%"/>
            <w:tcMar>
              <w:top w:type="dxa" w:w="140"/>
              <w:left w:type="dxa" w:w="180"/>
              <w:bottom w:type="dxa" w:w="140"/>
              <w:right w:type="dxa" w:w="140"/>
            </w:tcMar>
          </w:tcPr>
          <w:p>
            <w:pPr>
              <w:spacing w:after="0" w:before="0"/>
            </w:pPr>
            <w:r>
              <w:rPr>
                <w:color w:val="1A1F2E"/>
                <w:sz w:val="22"/>
                <w:szCs w:val="22"/>
              </w:rPr>
              <w:t xml:space="preserve">FIRE-SAFETY-NOTICE-PREMIUM-20260817-A</w:t>
            </w:r>
          </w:p>
        </w:tc>
      </w:tr>
      <w:tr>
        <w:tc>
          <w:tcPr>
            <w:tcW w:type="pct" w:w="38%"/>
            <w:shd w:fill="FAF7F2" w:color="auto" w:val="clear"/>
            <w:tcMar>
              <w:top w:type="dxa" w:w="140"/>
              <w:left w:type="dxa" w:w="220"/>
              <w:bottom w:type="dxa" w:w="140"/>
              <w:right w:type="dxa" w:w="140"/>
            </w:tcMar>
          </w:tcPr>
          <w:p>
            <w:pPr>
              <w:spacing w:after="0" w:before="0"/>
            </w:pPr>
            <w:r>
              <w:rPr>
                <w:b/>
                <w:bCs/>
                <w:color w:val="6B7280"/>
                <w:sz w:val="18"/>
                <w:szCs w:val="18"/>
              </w:rPr>
              <w:t xml:space="preserve">DATE D'ÉTABLISSEMENT</w:t>
            </w:r>
          </w:p>
        </w:tc>
        <w:tc>
          <w:tcPr>
            <w:tcW w:type="pct" w:w="62%"/>
            <w:tcMar>
              <w:top w:type="dxa" w:w="140"/>
              <w:left w:type="dxa" w:w="180"/>
              <w:bottom w:type="dxa" w:w="140"/>
              <w:right w:type="dxa" w:w="140"/>
            </w:tcMar>
          </w:tcPr>
          <w:p>
            <w:pPr>
              <w:spacing w:after="0" w:before="0"/>
            </w:pPr>
            <w:r>
              <w:rPr>
                <w:color w:val="1A1F2E"/>
                <w:sz w:val="22"/>
                <w:szCs w:val="22"/>
              </w:rPr>
              <w:t xml:space="preserve">17 août 2026</w:t>
            </w:r>
          </w:p>
        </w:tc>
      </w:tr>
      <w:tr>
        <w:tc>
          <w:tcPr>
            <w:tcW w:type="pct" w:w="38%"/>
            <w:shd w:fill="FAF7F2" w:color="auto" w:val="clear"/>
            <w:tcMar>
              <w:top w:type="dxa" w:w="140"/>
              <w:left w:type="dxa" w:w="220"/>
              <w:bottom w:type="dxa" w:w="140"/>
              <w:right w:type="dxa" w:w="140"/>
            </w:tcMar>
          </w:tcPr>
          <w:p>
            <w:pPr>
              <w:spacing w:after="0" w:before="0"/>
            </w:pPr>
            <w:r>
              <w:rPr>
                <w:b/>
                <w:bCs/>
                <w:color w:val="6B7280"/>
                <w:sz w:val="18"/>
                <w:szCs w:val="18"/>
              </w:rPr>
              <w:t xml:space="preserve">INDICE DE RÉVISION</w:t>
            </w:r>
          </w:p>
        </w:tc>
        <w:tc>
          <w:tcPr>
            <w:tcW w:type="pct" w:w="62%"/>
            <w:tcMar>
              <w:top w:type="dxa" w:w="140"/>
              <w:left w:type="dxa" w:w="180"/>
              <w:bottom w:type="dxa" w:w="140"/>
              <w:right w:type="dxa" w:w="140"/>
            </w:tcMar>
          </w:tcPr>
          <w:p>
            <w:pPr>
              <w:spacing w:after="0" w:before="0"/>
            </w:pPr>
            <w:r>
              <w:rPr>
                <w:color w:val="1A1F2E"/>
                <w:sz w:val="22"/>
                <w:szCs w:val="22"/>
              </w:rPr>
              <w:t xml:space="preserve">A</w:t>
            </w:r>
          </w:p>
        </w:tc>
      </w:tr>
    </w:tbl>
    <w:p>
      <w:r>
        <w:br w:type="page"/>
      </w:r>
    </w:p>
    <w:p>
      <w:pPr>
        <w:spacing w:after="60" w:before="0"/>
      </w:pPr>
      <w:r>
        <w:rPr>
          <w:b/>
          <w:bCs/>
          <w:color w:val="6B7280"/>
          <w:spacing w:val="60"/>
          <w:sz w:val="16"/>
          <w:szCs w:val="16"/>
        </w:rPr>
        <w:t xml:space="preserve">TABLE DES MATIÈRES</w:t>
      </w:r>
    </w:p>
    <w:p>
      <w:pPr>
        <w:pBdr>
          <w:bottom w:val="single" w:color="1A1F2E" w:sz="18" w:space="6"/>
        </w:pBdr>
        <w:spacing w:after="360" w:before="0"/>
      </w:pPr>
      <w:r>
        <w:rPr>
          <w:b/>
          <w:bCs/>
          <w:color w:val="1A1F2E"/>
          <w:sz w:val="52"/>
          <w:szCs w:val="52"/>
        </w:rPr>
        <w:t xml:space="preserve">Sommaire</w:t>
      </w:r>
    </w:p>
    <w:p>
      <w:pPr>
        <w:spacing w:after="40" w:before="40"/>
        <w:ind w:left="360" w:hanging="0"/>
      </w:pPr>
      <w:hyperlink w:history="1" w:anchor="nexia_h_8">
        <w:r>
          <w:rPr>
            <w:b/>
            <w:bCs/>
            <w:color w:val="2C3344"/>
            <w:sz w:val="22"/>
            <w:szCs w:val="22"/>
          </w:rPr>
          <w:t xml:space="preserve">1.1.  </w:t>
        </w:r>
        <w:r>
          <w:rPr>
            <w:b w:val="false"/>
            <w:bCs w:val="false"/>
            <w:color w:val="2C3344"/>
            <w:sz w:val="22"/>
            <w:szCs w:val="22"/>
          </w:rPr>
          <w:t xml:space="preserve">Fire Safety Notice — Premium Door Manufacturing Workshop</w:t>
        </w:r>
      </w:hyperlink>
    </w:p>
    <w:p>
      <w:pPr>
        <w:spacing w:after="40" w:before="40"/>
        <w:ind w:left="720" w:hanging="0"/>
      </w:pPr>
      <w:hyperlink w:history="1" w:anchor="nexia_h_9">
        <w:r>
          <w:rPr>
            <w:b/>
            <w:bCs/>
            <w:color w:val="6B7280"/>
            <w:sz w:val="20"/>
            <w:szCs w:val="20"/>
          </w:rPr>
          <w:t xml:space="preserve">1.1.1.  </w:t>
        </w:r>
        <w:r>
          <w:rPr>
            <w:b w:val="false"/>
            <w:bCs w:val="false"/>
            <w:color w:val="6B7280"/>
            <w:sz w:val="20"/>
            <w:szCs w:val="20"/>
          </w:rPr>
          <w:t xml:space="preserve">Ngoundiane, Thiès Region, Senegal</w:t>
        </w:r>
      </w:hyperlink>
    </w:p>
    <w:p>
      <w:pPr>
        <w:spacing w:after="40" w:before="40"/>
        <w:ind w:left="720" w:hanging="0"/>
      </w:pPr>
      <w:hyperlink w:history="1" w:anchor="nexia_h_10">
        <w:r>
          <w:rPr>
            <w:b/>
            <w:bCs/>
            <w:color w:val="6B7280"/>
            <w:sz w:val="20"/>
            <w:szCs w:val="20"/>
          </w:rPr>
          <w:t xml:space="preserve">1.1.2.  </w:t>
        </w:r>
        <w:r>
          <w:rPr>
            <w:b w:val="false"/>
            <w:bCs w:val="false"/>
            <w:color w:val="6B7280"/>
            <w:sz w:val="20"/>
            <w:szCs w:val="20"/>
          </w:rPr>
          <w:t xml:space="preserve">Complete Document — All Sections and Diagrams</w:t>
        </w:r>
      </w:hyperlink>
    </w:p>
    <w:p>
      <w:pPr>
        <w:spacing w:after="40" w:before="40"/>
        <w:ind w:left="360" w:hanging="0"/>
      </w:pPr>
      <w:hyperlink w:history="1" w:anchor="nexia_h_14">
        <w:r>
          <w:rPr>
            <w:b/>
            <w:bCs/>
            <w:color w:val="2C3344"/>
            <w:sz w:val="22"/>
            <w:szCs w:val="22"/>
          </w:rPr>
          <w:t xml:space="preserve">1.2.  </w:t>
        </w:r>
        <w:r>
          <w:rPr>
            <w:b w:val="false"/>
            <w:bCs w:val="false"/>
            <w:color w:val="2C3344"/>
            <w:sz w:val="22"/>
            <w:szCs w:val="22"/>
          </w:rPr>
          <w:t xml:space="preserve">Regulatory and Normative Framework</w:t>
        </w:r>
      </w:hyperlink>
    </w:p>
    <w:p>
      <w:pPr>
        <w:spacing w:after="40" w:before="40"/>
        <w:ind w:left="720" w:hanging="0"/>
      </w:pPr>
      <w:hyperlink w:history="1" w:anchor="nexia_h_16">
        <w:r>
          <w:rPr>
            <w:b/>
            <w:bCs/>
            <w:color w:val="6B7280"/>
            <w:sz w:val="20"/>
            <w:szCs w:val="20"/>
          </w:rPr>
          <w:t xml:space="preserve">1.2.1.  </w:t>
        </w:r>
        <w:r>
          <w:rPr>
            <w:b w:val="false"/>
            <w:bCs w:val="false"/>
            <w:color w:val="6B7280"/>
            <w:sz w:val="20"/>
            <w:szCs w:val="20"/>
          </w:rPr>
          <w:t xml:space="preserve">Applicable Senegalese Legislation</w:t>
        </w:r>
      </w:hyperlink>
    </w:p>
    <w:p>
      <w:pPr>
        <w:spacing w:after="40" w:before="40"/>
        <w:ind w:left="720" w:hanging="0"/>
      </w:pPr>
      <w:hyperlink w:history="1" w:anchor="nexia_h_22">
        <w:r>
          <w:rPr>
            <w:b/>
            <w:bCs/>
            <w:color w:val="6B7280"/>
            <w:sz w:val="20"/>
            <w:szCs w:val="20"/>
          </w:rPr>
          <w:t xml:space="preserve">1.2.2.  </w:t>
        </w:r>
        <w:r>
          <w:rPr>
            <w:b w:val="false"/>
            <w:bCs w:val="false"/>
            <w:color w:val="6B7280"/>
            <w:sz w:val="20"/>
            <w:szCs w:val="20"/>
          </w:rPr>
          <w:t xml:space="preserve">International Technical Standards</w:t>
        </w:r>
      </w:hyperlink>
    </w:p>
    <w:p>
      <w:pPr>
        <w:spacing w:after="40" w:before="40"/>
        <w:ind w:left="720" w:hanging="0"/>
      </w:pPr>
      <w:hyperlink w:history="1" w:anchor="nexia_h_32">
        <w:r>
          <w:rPr>
            <w:b/>
            <w:bCs/>
            <w:color w:val="6B7280"/>
            <w:sz w:val="20"/>
            <w:szCs w:val="20"/>
          </w:rPr>
          <w:t xml:space="preserve">1.2.3.  </w:t>
        </w:r>
        <w:r>
          <w:rPr>
            <w:b w:val="false"/>
            <w:bCs w:val="false"/>
            <w:color w:val="6B7280"/>
            <w:sz w:val="20"/>
            <w:szCs w:val="20"/>
          </w:rPr>
          <w:t xml:space="preserve">Establishment Classification</w:t>
        </w:r>
      </w:hyperlink>
    </w:p>
    <w:p>
      <w:pPr>
        <w:spacing w:after="40" w:before="40"/>
        <w:ind w:left="360" w:hanging="0"/>
      </w:pPr>
      <w:hyperlink w:history="1" w:anchor="nexia_h_38">
        <w:r>
          <w:rPr>
            <w:b/>
            <w:bCs/>
            <w:color w:val="2C3344"/>
            <w:sz w:val="22"/>
            <w:szCs w:val="22"/>
          </w:rPr>
          <w:t xml:space="preserve">1.3.  </w:t>
        </w:r>
        <w:r>
          <w:rPr>
            <w:b w:val="false"/>
            <w:bCs w:val="false"/>
            <w:color w:val="2C3344"/>
            <w:sz w:val="22"/>
            <w:szCs w:val="22"/>
          </w:rPr>
          <w:t xml:space="preserve">Establishment Description and Risk Analysis</w:t>
        </w:r>
      </w:hyperlink>
    </w:p>
    <w:p>
      <w:pPr>
        <w:spacing w:after="40" w:before="40"/>
        <w:ind w:left="720" w:hanging="0"/>
      </w:pPr>
      <w:hyperlink w:history="1" w:anchor="nexia_h_40">
        <w:r>
          <w:rPr>
            <w:b/>
            <w:bCs/>
            <w:color w:val="6B7280"/>
            <w:sz w:val="20"/>
            <w:szCs w:val="20"/>
          </w:rPr>
          <w:t xml:space="preserve">1.3.1.  </w:t>
        </w:r>
        <w:r>
          <w:rPr>
            <w:b w:val="false"/>
            <w:bCs w:val="false"/>
            <w:color w:val="6B7280"/>
            <w:sz w:val="20"/>
            <w:szCs w:val="20"/>
          </w:rPr>
          <w:t xml:space="preserve">Site General Description</w:t>
        </w:r>
      </w:hyperlink>
    </w:p>
    <w:p>
      <w:pPr>
        <w:spacing w:after="40" w:before="40"/>
        <w:ind w:left="720" w:hanging="0"/>
      </w:pPr>
      <w:hyperlink w:history="1" w:anchor="nexia_h_44">
        <w:r>
          <w:rPr>
            <w:b/>
            <w:bCs/>
            <w:color w:val="6B7280"/>
            <w:sz w:val="20"/>
            <w:szCs w:val="20"/>
          </w:rPr>
          <w:t xml:space="preserve">1.3.2.  </w:t>
        </w:r>
        <w:r>
          <w:rPr>
            <w:b w:val="false"/>
            <w:bCs w:val="false"/>
            <w:color w:val="6B7280"/>
            <w:sz w:val="20"/>
            <w:szCs w:val="20"/>
          </w:rPr>
          <w:t xml:space="preserve">Risk Identification Matrix</w:t>
        </w:r>
      </w:hyperlink>
    </w:p>
    <w:p>
      <w:pPr>
        <w:spacing w:after="40" w:before="40"/>
        <w:ind w:left="720" w:hanging="0"/>
      </w:pPr>
      <w:hyperlink w:history="1" w:anchor="nexia_h_57">
        <w:r>
          <w:rPr>
            <w:b/>
            <w:bCs/>
            <w:color w:val="6B7280"/>
            <w:sz w:val="20"/>
            <w:szCs w:val="20"/>
          </w:rPr>
          <w:t xml:space="preserve">1.3.3.  </w:t>
        </w:r>
        <w:r>
          <w:rPr>
            <w:b w:val="false"/>
            <w:bCs w:val="false"/>
            <w:color w:val="6B7280"/>
            <w:sz w:val="20"/>
            <w:szCs w:val="20"/>
          </w:rPr>
          <w:t xml:space="preserve">DIAGRAM 1 — RISK CRITICALITY MATRIX — ALL ZONES</w:t>
        </w:r>
      </w:hyperlink>
    </w:p>
    <w:p>
      <w:pPr>
        <w:spacing w:after="40" w:before="40"/>
        <w:ind w:left="360" w:hanging="0"/>
      </w:pPr>
      <w:hyperlink w:history="1" w:anchor="nexia_h_65">
        <w:r>
          <w:rPr>
            <w:b/>
            <w:bCs/>
            <w:color w:val="2C3344"/>
            <w:sz w:val="22"/>
            <w:szCs w:val="22"/>
          </w:rPr>
          <w:t xml:space="preserve">1.4.  </w:t>
        </w:r>
        <w:r>
          <w:rPr>
            <w:b w:val="false"/>
            <w:bCs w:val="false"/>
            <w:color w:val="2C3344"/>
            <w:sz w:val="22"/>
            <w:szCs w:val="22"/>
          </w:rPr>
          <w:t xml:space="preserve">Fire Prevention Measures</w:t>
        </w:r>
      </w:hyperlink>
    </w:p>
    <w:p>
      <w:pPr>
        <w:spacing w:after="40" w:before="40"/>
        <w:ind w:left="720" w:hanging="0"/>
      </w:pPr>
      <w:hyperlink w:history="1" w:anchor="nexia_h_67">
        <w:r>
          <w:rPr>
            <w:b/>
            <w:bCs/>
            <w:color w:val="6B7280"/>
            <w:sz w:val="20"/>
            <w:szCs w:val="20"/>
          </w:rPr>
          <w:t xml:space="preserve">1.4.1.  </w:t>
        </w:r>
        <w:r>
          <w:rPr>
            <w:b w:val="false"/>
            <w:bCs w:val="false"/>
            <w:color w:val="6B7280"/>
            <w:sz w:val="20"/>
            <w:szCs w:val="20"/>
          </w:rPr>
          <w:t xml:space="preserve">Fire Resistance of Structural Elements</w:t>
        </w:r>
      </w:hyperlink>
    </w:p>
    <w:p>
      <w:pPr>
        <w:spacing w:after="40" w:before="40"/>
        <w:ind w:left="720" w:hanging="0"/>
      </w:pPr>
      <w:hyperlink w:history="1" w:anchor="nexia_h_73">
        <w:r>
          <w:rPr>
            <w:b/>
            <w:bCs/>
            <w:color w:val="6B7280"/>
            <w:sz w:val="20"/>
            <w:szCs w:val="20"/>
          </w:rPr>
          <w:t xml:space="preserve">1.4.2.  </w:t>
        </w:r>
        <w:r>
          <w:rPr>
            <w:b w:val="false"/>
            <w:bCs w:val="false"/>
            <w:color w:val="6B7280"/>
            <w:sz w:val="20"/>
            <w:szCs w:val="20"/>
          </w:rPr>
          <w:t xml:space="preserve">Reaction to Fire — Euroclass Ratings</w:t>
        </w:r>
      </w:hyperlink>
    </w:p>
    <w:p>
      <w:pPr>
        <w:spacing w:after="40" w:before="40"/>
        <w:ind w:left="720" w:hanging="0"/>
      </w:pPr>
      <w:hyperlink w:history="1" w:anchor="nexia_h_79">
        <w:r>
          <w:rPr>
            <w:b/>
            <w:bCs/>
            <w:color w:val="6B7280"/>
            <w:sz w:val="20"/>
            <w:szCs w:val="20"/>
          </w:rPr>
          <w:t xml:space="preserve">1.4.3.  </w:t>
        </w:r>
        <w:r>
          <w:rPr>
            <w:b w:val="false"/>
            <w:bCs w:val="false"/>
            <w:color w:val="6B7280"/>
            <w:sz w:val="20"/>
            <w:szCs w:val="20"/>
          </w:rPr>
          <w:t xml:space="preserve">Zone Separation Requirements</w:t>
        </w:r>
      </w:hyperlink>
    </w:p>
    <w:p>
      <w:pPr>
        <w:spacing w:after="40" w:before="40"/>
        <w:ind w:left="720" w:hanging="0"/>
      </w:pPr>
      <w:hyperlink w:history="1" w:anchor="nexia_h_83">
        <w:r>
          <w:rPr>
            <w:b/>
            <w:bCs/>
            <w:color w:val="6B7280"/>
            <w:sz w:val="20"/>
            <w:szCs w:val="20"/>
          </w:rPr>
          <w:t xml:space="preserve">1.4.4.  </w:t>
        </w:r>
        <w:r>
          <w:rPr>
            <w:b w:val="false"/>
            <w:bCs w:val="false"/>
            <w:color w:val="6B7280"/>
            <w:sz w:val="20"/>
            <w:szCs w:val="20"/>
          </w:rPr>
          <w:t xml:space="preserve">Permanent Prohibitions</w:t>
        </w:r>
      </w:hyperlink>
    </w:p>
    <w:p>
      <w:pPr>
        <w:spacing w:after="40" w:before="40"/>
        <w:ind w:left="360" w:hanging="0"/>
      </w:pPr>
      <w:hyperlink w:history="1" w:anchor="nexia_h_98">
        <w:r>
          <w:rPr>
            <w:b/>
            <w:bCs/>
            <w:color w:val="2C3344"/>
            <w:sz w:val="22"/>
            <w:szCs w:val="22"/>
          </w:rPr>
          <w:t xml:space="preserve">1.5.  </w:t>
        </w:r>
        <w:r>
          <w:rPr>
            <w:b w:val="false"/>
            <w:bCs w:val="false"/>
            <w:color w:val="2C3344"/>
            <w:sz w:val="22"/>
            <w:szCs w:val="22"/>
          </w:rPr>
          <w:t xml:space="preserve">Automatic Fire Detection</w:t>
        </w:r>
      </w:hyperlink>
    </w:p>
    <w:p>
      <w:pPr>
        <w:spacing w:after="40" w:before="40"/>
        <w:ind w:left="720" w:hanging="0"/>
      </w:pPr>
      <w:hyperlink w:history="1" w:anchor="nexia_h_100">
        <w:r>
          <w:rPr>
            <w:b/>
            <w:bCs/>
            <w:color w:val="6B7280"/>
            <w:sz w:val="20"/>
            <w:szCs w:val="20"/>
          </w:rPr>
          <w:t xml:space="preserve">1.5.1.  </w:t>
        </w:r>
        <w:r>
          <w:rPr>
            <w:b w:val="false"/>
            <w:bCs w:val="false"/>
            <w:color w:val="6B7280"/>
            <w:sz w:val="20"/>
            <w:szCs w:val="20"/>
          </w:rPr>
          <w:t xml:space="preserve">Fire Safety System (FSS) — Category A</w:t>
        </w:r>
      </w:hyperlink>
    </w:p>
    <w:p>
      <w:pPr>
        <w:spacing w:after="40" w:before="40"/>
        <w:ind w:left="720" w:hanging="0"/>
      </w:pPr>
      <w:hyperlink w:history="1" w:anchor="nexia_h_106">
        <w:r>
          <w:rPr>
            <w:b/>
            <w:bCs/>
            <w:color w:val="6B7280"/>
            <w:sz w:val="20"/>
            <w:szCs w:val="20"/>
          </w:rPr>
          <w:t xml:space="preserve">1.5.2.  </w:t>
        </w:r>
        <w:r>
          <w:rPr>
            <w:b w:val="false"/>
            <w:bCs w:val="false"/>
            <w:color w:val="6B7280"/>
            <w:sz w:val="20"/>
            <w:szCs w:val="20"/>
          </w:rPr>
          <w:t xml:space="preserve">Detector Quantity Calculation</w:t>
        </w:r>
      </w:hyperlink>
    </w:p>
    <w:p>
      <w:pPr>
        <w:spacing w:after="40" w:before="40"/>
        <w:ind w:left="720" w:hanging="0"/>
      </w:pPr>
      <w:hyperlink w:history="1" w:anchor="nexia_h_135">
        <w:r>
          <w:rPr>
            <w:b/>
            <w:bCs/>
            <w:color w:val="6B7280"/>
            <w:sz w:val="20"/>
            <w:szCs w:val="20"/>
          </w:rPr>
          <w:t xml:space="preserve">1.5.3.  </w:t>
        </w:r>
        <w:r>
          <w:rPr>
            <w:b w:val="false"/>
            <w:bCs w:val="false"/>
            <w:color w:val="6B7280"/>
            <w:sz w:val="20"/>
            <w:szCs w:val="20"/>
          </w:rPr>
          <w:t xml:space="preserve">Fire Detection Panel — Specifications</w:t>
        </w:r>
      </w:hyperlink>
    </w:p>
    <w:p>
      <w:pPr>
        <w:spacing w:after="40" w:before="40"/>
        <w:ind w:left="720" w:hanging="0"/>
      </w:pPr>
      <w:hyperlink w:history="1" w:anchor="nexia_h_141">
        <w:r>
          <w:rPr>
            <w:b/>
            <w:bCs/>
            <w:color w:val="6B7280"/>
            <w:sz w:val="20"/>
            <w:szCs w:val="20"/>
          </w:rPr>
          <w:t xml:space="preserve">1.5.4.  </w:t>
        </w:r>
        <w:r>
          <w:rPr>
            <w:b w:val="false"/>
            <w:bCs w:val="false"/>
            <w:color w:val="6B7280"/>
            <w:sz w:val="20"/>
            <w:szCs w:val="20"/>
          </w:rPr>
          <w:t xml:space="preserve">DIAGRAM 2 — FIRE SAFETY SYSTEM (FSS) CATEGORY A — FUNCTIONAL ARCHITECTURE</w:t>
        </w:r>
      </w:hyperlink>
    </w:p>
    <w:p>
      <w:pPr>
        <w:spacing w:after="40" w:before="40"/>
        <w:ind w:left="360" w:hanging="0"/>
      </w:pPr>
      <w:hyperlink w:history="1" w:anchor="nexia_h_149">
        <w:r>
          <w:rPr>
            <w:b/>
            <w:bCs/>
            <w:color w:val="2C3344"/>
            <w:sz w:val="22"/>
            <w:szCs w:val="22"/>
          </w:rPr>
          <w:t xml:space="preserve">1.6.  </w:t>
        </w:r>
        <w:r>
          <w:rPr>
            <w:b w:val="false"/>
            <w:bCs w:val="false"/>
            <w:color w:val="2C3344"/>
            <w:sz w:val="22"/>
            <w:szCs w:val="22"/>
          </w:rPr>
          <w:t xml:space="preserve">Smoke Extraction — Natural Ventilation</w:t>
        </w:r>
      </w:hyperlink>
    </w:p>
    <w:p>
      <w:pPr>
        <w:spacing w:after="40" w:before="40"/>
        <w:ind w:left="720" w:hanging="0"/>
      </w:pPr>
      <w:hyperlink w:history="1" w:anchor="nexia_h_153">
        <w:r>
          <w:rPr>
            <w:b/>
            <w:bCs/>
            <w:color w:val="6B7280"/>
            <w:sz w:val="20"/>
            <w:szCs w:val="20"/>
          </w:rPr>
          <w:t xml:space="preserve">1.6.1.  </w:t>
        </w:r>
        <w:r>
          <w:rPr>
            <w:b w:val="false"/>
            <w:bCs w:val="false"/>
            <w:color w:val="6B7280"/>
            <w:sz w:val="20"/>
            <w:szCs w:val="20"/>
          </w:rPr>
          <w:t xml:space="preserve">Extraction Surface Calculation</w:t>
        </w:r>
      </w:hyperlink>
    </w:p>
    <w:p>
      <w:pPr>
        <w:spacing w:after="40" w:before="40"/>
        <w:ind w:left="720" w:hanging="0"/>
      </w:pPr>
      <w:hyperlink w:history="1" w:anchor="nexia_h_175">
        <w:r>
          <w:rPr>
            <w:b/>
            <w:bCs/>
            <w:color w:val="6B7280"/>
            <w:sz w:val="20"/>
            <w:szCs w:val="20"/>
          </w:rPr>
          <w:t xml:space="preserve">1.6.2.  </w:t>
        </w:r>
        <w:r>
          <w:rPr>
            <w:b w:val="false"/>
            <w:bCs w:val="false"/>
            <w:color w:val="6B7280"/>
            <w:sz w:val="20"/>
            <w:szCs w:val="20"/>
          </w:rPr>
          <w:t xml:space="preserve">Smoke Vent Specification and Implantation</w:t>
        </w:r>
      </w:hyperlink>
    </w:p>
    <w:p>
      <w:pPr>
        <w:spacing w:after="40" w:before="40"/>
        <w:ind w:left="720" w:hanging="0"/>
      </w:pPr>
      <w:hyperlink w:history="1" w:anchor="nexia_h_181">
        <w:r>
          <w:rPr>
            <w:b/>
            <w:bCs/>
            <w:color w:val="6B7280"/>
            <w:sz w:val="20"/>
            <w:szCs w:val="20"/>
          </w:rPr>
          <w:t xml:space="preserve">1.6.3.  </w:t>
        </w:r>
        <w:r>
          <w:rPr>
            <w:b w:val="false"/>
            <w:bCs w:val="false"/>
            <w:color w:val="6B7280"/>
            <w:sz w:val="20"/>
            <w:szCs w:val="20"/>
          </w:rPr>
          <w:t xml:space="preserve">Air Inlets</w:t>
        </w:r>
      </w:hyperlink>
    </w:p>
    <w:p>
      <w:pPr>
        <w:spacing w:after="40" w:before="40"/>
        <w:ind w:left="720" w:hanging="0"/>
      </w:pPr>
      <w:hyperlink w:history="1" w:anchor="nexia_h_196">
        <w:r>
          <w:rPr>
            <w:b/>
            <w:bCs/>
            <w:color w:val="6B7280"/>
            <w:sz w:val="20"/>
            <w:szCs w:val="20"/>
          </w:rPr>
          <w:t xml:space="preserve">1.6.4.  </w:t>
        </w:r>
        <w:r>
          <w:rPr>
            <w:b w:val="false"/>
            <w:bCs w:val="false"/>
            <w:color w:val="6B7280"/>
            <w:sz w:val="20"/>
            <w:szCs w:val="20"/>
          </w:rPr>
          <w:t xml:space="preserve">DIAGRAM 3 — NATURAL SMOKE EXTRACTION — CROSS-SECTION A-A — WORKSHOP 20 m × CLEAR HEIGHT 6 m</w:t>
        </w:r>
      </w:hyperlink>
    </w:p>
    <w:p>
      <w:pPr>
        <w:spacing w:after="40" w:before="40"/>
        <w:ind w:left="360" w:hanging="0"/>
      </w:pPr>
      <w:hyperlink w:history="1" w:anchor="nexia_h_204">
        <w:r>
          <w:rPr>
            <w:b/>
            <w:bCs/>
            <w:color w:val="2C3344"/>
            <w:sz w:val="22"/>
            <w:szCs w:val="22"/>
          </w:rPr>
          <w:t xml:space="preserve">1.7.  </w:t>
        </w:r>
        <w:r>
          <w:rPr>
            <w:b w:val="false"/>
            <w:bCs w:val="false"/>
            <w:color w:val="2C3344"/>
            <w:sz w:val="22"/>
            <w:szCs w:val="22"/>
          </w:rPr>
          <w:t xml:space="preserve">Firefighting Means</w:t>
        </w:r>
      </w:hyperlink>
    </w:p>
    <w:p>
      <w:pPr>
        <w:spacing w:after="40" w:before="40"/>
        <w:ind w:left="720" w:hanging="0"/>
      </w:pPr>
      <w:hyperlink w:history="1" w:anchor="nexia_h_206">
        <w:r>
          <w:rPr>
            <w:b/>
            <w:bCs/>
            <w:color w:val="6B7280"/>
            <w:sz w:val="20"/>
            <w:szCs w:val="20"/>
          </w:rPr>
          <w:t xml:space="preserve">1.7.1.  </w:t>
        </w:r>
        <w:r>
          <w:rPr>
            <w:b w:val="false"/>
            <w:bCs w:val="false"/>
            <w:color w:val="6B7280"/>
            <w:sz w:val="20"/>
            <w:szCs w:val="20"/>
          </w:rPr>
          <w:t xml:space="preserve">Fire Extinguishers</w:t>
        </w:r>
      </w:hyperlink>
    </w:p>
    <w:p>
      <w:pPr>
        <w:spacing w:after="40" w:before="40"/>
        <w:ind w:left="720" w:hanging="0"/>
      </w:pPr>
      <w:hyperlink w:history="1" w:anchor="nexia_h_214">
        <w:r>
          <w:rPr>
            <w:b/>
            <w:bCs/>
            <w:color w:val="6B7280"/>
            <w:sz w:val="20"/>
            <w:szCs w:val="20"/>
          </w:rPr>
          <w:t xml:space="preserve">1.7.2.  </w:t>
        </w:r>
        <w:r>
          <w:rPr>
            <w:b w:val="false"/>
            <w:bCs w:val="false"/>
            <w:color w:val="6B7280"/>
            <w:sz w:val="20"/>
            <w:szCs w:val="20"/>
          </w:rPr>
          <w:t xml:space="preserve">Fire Hose Reels (FHR)</w:t>
        </w:r>
      </w:hyperlink>
    </w:p>
    <w:p>
      <w:pPr>
        <w:spacing w:after="40" w:before="40"/>
        <w:ind w:left="720" w:hanging="0"/>
      </w:pPr>
      <w:hyperlink w:history="1" w:anchor="nexia_h_235">
        <w:r>
          <w:rPr>
            <w:b/>
            <w:bCs/>
            <w:color w:val="6B7280"/>
            <w:sz w:val="20"/>
            <w:szCs w:val="20"/>
          </w:rPr>
          <w:t xml:space="preserve">1.7.3.  </w:t>
        </w:r>
        <w:r>
          <w:rPr>
            <w:b w:val="false"/>
            <w:bCs w:val="false"/>
            <w:color w:val="6B7280"/>
            <w:sz w:val="20"/>
            <w:szCs w:val="20"/>
          </w:rPr>
          <w:t xml:space="preserve">Fire Water Reserve</w:t>
        </w:r>
      </w:hyperlink>
    </w:p>
    <w:p>
      <w:pPr>
        <w:spacing w:after="40" w:before="40"/>
        <w:ind w:left="360" w:hanging="0"/>
      </w:pPr>
      <w:hyperlink w:history="1" w:anchor="nexia_h_243">
        <w:r>
          <w:rPr>
            <w:b/>
            <w:bCs/>
            <w:color w:val="2C3344"/>
            <w:sz w:val="22"/>
            <w:szCs w:val="22"/>
          </w:rPr>
          <w:t xml:space="preserve">1.8.  </w:t>
        </w:r>
        <w:r>
          <w:rPr>
            <w:b w:val="false"/>
            <w:bCs w:val="false"/>
            <w:color w:val="2C3344"/>
            <w:sz w:val="22"/>
            <w:szCs w:val="22"/>
          </w:rPr>
          <w:t xml:space="preserve">Evacuation and Escape Routes</w:t>
        </w:r>
      </w:hyperlink>
    </w:p>
    <w:p>
      <w:pPr>
        <w:spacing w:after="40" w:before="40"/>
        <w:ind w:left="720" w:hanging="0"/>
      </w:pPr>
      <w:hyperlink w:history="1" w:anchor="nexia_h_245">
        <w:r>
          <w:rPr>
            <w:b/>
            <w:bCs/>
            <w:color w:val="6B7280"/>
            <w:sz w:val="20"/>
            <w:szCs w:val="20"/>
          </w:rPr>
          <w:t xml:space="preserve">1.8.1.  </w:t>
        </w:r>
        <w:r>
          <w:rPr>
            <w:b w:val="false"/>
            <w:bCs w:val="false"/>
            <w:color w:val="6B7280"/>
            <w:sz w:val="20"/>
            <w:szCs w:val="20"/>
          </w:rPr>
          <w:t xml:space="preserve">Escape Route Widths</w:t>
        </w:r>
      </w:hyperlink>
    </w:p>
    <w:p>
      <w:pPr>
        <w:spacing w:after="40" w:before="40"/>
        <w:ind w:left="720" w:hanging="0"/>
      </w:pPr>
      <w:hyperlink w:history="1" w:anchor="nexia_h_260">
        <w:r>
          <w:rPr>
            <w:b/>
            <w:bCs/>
            <w:color w:val="6B7280"/>
            <w:sz w:val="20"/>
            <w:szCs w:val="20"/>
          </w:rPr>
          <w:t xml:space="preserve">1.8.2.  </w:t>
        </w:r>
        <w:r>
          <w:rPr>
            <w:b w:val="false"/>
            <w:bCs w:val="false"/>
            <w:color w:val="6B7280"/>
            <w:sz w:val="20"/>
            <w:szCs w:val="20"/>
          </w:rPr>
          <w:t xml:space="preserve">Emergency Lighting (BAES)</w:t>
        </w:r>
      </w:hyperlink>
    </w:p>
    <w:p>
      <w:pPr>
        <w:spacing w:after="40" w:before="40"/>
        <w:ind w:left="720" w:hanging="0"/>
      </w:pPr>
      <w:hyperlink w:history="1" w:anchor="nexia_h_274">
        <w:r>
          <w:rPr>
            <w:b/>
            <w:bCs/>
            <w:color w:val="6B7280"/>
            <w:sz w:val="20"/>
            <w:szCs w:val="20"/>
          </w:rPr>
          <w:t xml:space="preserve">1.8.3.  </w:t>
        </w:r>
        <w:r>
          <w:rPr>
            <w:b w:val="false"/>
            <w:bCs w:val="false"/>
            <w:color w:val="6B7280"/>
            <w:sz w:val="20"/>
            <w:szCs w:val="20"/>
          </w:rPr>
          <w:t xml:space="preserve">DIAGRAM 4 — ISO 7010 SAFETY PICTOGRAM LEGEND — FIRE AND EVACUATION SIGNAGE</w:t>
        </w:r>
      </w:hyperlink>
    </w:p>
    <w:p>
      <w:pPr>
        <w:spacing w:after="40" w:before="40"/>
        <w:ind w:left="360" w:hanging="0"/>
      </w:pPr>
      <w:hyperlink w:history="1" w:anchor="nexia_h_282">
        <w:r>
          <w:rPr>
            <w:b/>
            <w:bCs/>
            <w:color w:val="2C3344"/>
            <w:sz w:val="22"/>
            <w:szCs w:val="22"/>
          </w:rPr>
          <w:t xml:space="preserve">1.9.  </w:t>
        </w:r>
        <w:r>
          <w:rPr>
            <w:b w:val="false"/>
            <w:bCs w:val="false"/>
            <w:color w:val="2C3344"/>
            <w:sz w:val="22"/>
            <w:szCs w:val="22"/>
          </w:rPr>
          <w:t xml:space="preserve">Fire Safety Organisation</w:t>
        </w:r>
      </w:hyperlink>
    </w:p>
    <w:p>
      <w:pPr>
        <w:spacing w:after="40" w:before="40"/>
        <w:ind w:left="720" w:hanging="0"/>
      </w:pPr>
      <w:hyperlink w:history="1" w:anchor="nexia_h_284">
        <w:r>
          <w:rPr>
            <w:b/>
            <w:bCs/>
            <w:color w:val="6B7280"/>
            <w:sz w:val="20"/>
            <w:szCs w:val="20"/>
          </w:rPr>
          <w:t xml:space="preserve">1.9.1.  </w:t>
        </w:r>
        <w:r>
          <w:rPr>
            <w:b w:val="false"/>
            <w:bCs w:val="false"/>
            <w:color w:val="6B7280"/>
            <w:sz w:val="20"/>
            <w:szCs w:val="20"/>
          </w:rPr>
          <w:t xml:space="preserve">Fire Safety Team (FST)</w:t>
        </w:r>
      </w:hyperlink>
    </w:p>
    <w:p>
      <w:pPr>
        <w:spacing w:after="40" w:before="40"/>
        <w:ind w:left="720" w:hanging="0"/>
      </w:pPr>
      <w:hyperlink w:history="1" w:anchor="nexia_h_290">
        <w:r>
          <w:rPr>
            <w:b/>
            <w:bCs/>
            <w:color w:val="6B7280"/>
            <w:sz w:val="20"/>
            <w:szCs w:val="20"/>
          </w:rPr>
          <w:t xml:space="preserve">1.9.2.  </w:t>
        </w:r>
        <w:r>
          <w:rPr>
            <w:b w:val="false"/>
            <w:bCs w:val="false"/>
            <w:color w:val="6B7280"/>
            <w:sz w:val="20"/>
            <w:szCs w:val="20"/>
          </w:rPr>
          <w:t xml:space="preserve">General Instructions in Case of Fire</w:t>
        </w:r>
      </w:hyperlink>
    </w:p>
    <w:p>
      <w:pPr>
        <w:spacing w:after="40" w:before="40"/>
        <w:ind w:left="720" w:hanging="0"/>
      </w:pPr>
      <w:hyperlink w:history="1" w:anchor="nexia_h_296">
        <w:r>
          <w:rPr>
            <w:b/>
            <w:bCs/>
            <w:color w:val="6B7280"/>
            <w:sz w:val="20"/>
            <w:szCs w:val="20"/>
          </w:rPr>
          <w:t xml:space="preserve">1.9.3.  </w:t>
        </w:r>
        <w:r>
          <w:rPr>
            <w:b w:val="false"/>
            <w:bCs w:val="false"/>
            <w:color w:val="6B7280"/>
            <w:sz w:val="20"/>
            <w:szCs w:val="20"/>
          </w:rPr>
          <w:t xml:space="preserve">Staff Training Programme</w:t>
        </w:r>
      </w:hyperlink>
    </w:p>
    <w:p>
      <w:pPr>
        <w:spacing w:after="40" w:before="40"/>
        <w:ind w:left="360" w:hanging="0"/>
      </w:pPr>
      <w:hyperlink w:history="1" w:anchor="nexia_h_304">
        <w:r>
          <w:rPr>
            <w:b/>
            <w:bCs/>
            <w:color w:val="2C3344"/>
            <w:sz w:val="22"/>
            <w:szCs w:val="22"/>
          </w:rPr>
          <w:t xml:space="preserve">1.10.  </w:t>
        </w:r>
        <w:r>
          <w:rPr>
            <w:b w:val="false"/>
            <w:bCs w:val="false"/>
            <w:color w:val="2C3344"/>
            <w:sz w:val="22"/>
            <w:szCs w:val="22"/>
          </w:rPr>
          <w:t xml:space="preserve">Hot Work Permit and Prevention Plan</w:t>
        </w:r>
      </w:hyperlink>
    </w:p>
    <w:p>
      <w:pPr>
        <w:spacing w:after="40" w:before="40"/>
        <w:ind w:left="720" w:hanging="0"/>
      </w:pPr>
      <w:hyperlink w:history="1" w:anchor="nexia_h_306">
        <w:r>
          <w:rPr>
            <w:b/>
            <w:bCs/>
            <w:color w:val="6B7280"/>
            <w:sz w:val="20"/>
            <w:szCs w:val="20"/>
          </w:rPr>
          <w:t xml:space="preserve">1.10.1.  </w:t>
        </w:r>
        <w:r>
          <w:rPr>
            <w:b w:val="false"/>
            <w:bCs w:val="false"/>
            <w:color w:val="6B7280"/>
            <w:sz w:val="20"/>
            <w:szCs w:val="20"/>
          </w:rPr>
          <w:t xml:space="preserve">Hot Work Permit — Triggering Operations</w:t>
        </w:r>
      </w:hyperlink>
    </w:p>
    <w:p>
      <w:pPr>
        <w:spacing w:after="40" w:before="40"/>
        <w:ind w:left="720" w:hanging="0"/>
      </w:pPr>
      <w:hyperlink w:history="1" w:anchor="nexia_h_322">
        <w:r>
          <w:rPr>
            <w:b/>
            <w:bCs/>
            <w:color w:val="6B7280"/>
            <w:sz w:val="20"/>
            <w:szCs w:val="20"/>
          </w:rPr>
          <w:t xml:space="preserve">1.10.2.  </w:t>
        </w:r>
        <w:r>
          <w:rPr>
            <w:b w:val="false"/>
            <w:bCs w:val="false"/>
            <w:color w:val="6B7280"/>
            <w:sz w:val="20"/>
            <w:szCs w:val="20"/>
          </w:rPr>
          <w:t xml:space="preserve">Combustible Waste Management</w:t>
        </w:r>
      </w:hyperlink>
    </w:p>
    <w:p>
      <w:pPr>
        <w:spacing w:after="40" w:before="40"/>
        <w:ind w:left="360" w:hanging="0"/>
      </w:pPr>
      <w:hyperlink w:history="1" w:anchor="nexia_h_330">
        <w:r>
          <w:rPr>
            <w:b/>
            <w:bCs/>
            <w:color w:val="2C3344"/>
            <w:sz w:val="22"/>
            <w:szCs w:val="22"/>
          </w:rPr>
          <w:t xml:space="preserve">1.11.  </w:t>
        </w:r>
        <w:r>
          <w:rPr>
            <w:b w:val="false"/>
            <w:bCs w:val="false"/>
            <w:color w:val="2C3344"/>
            <w:sz w:val="22"/>
            <w:szCs w:val="22"/>
          </w:rPr>
          <w:t xml:space="preserve">Safety Register and Periodic Inspections</w:t>
        </w:r>
      </w:hyperlink>
    </w:p>
    <w:p>
      <w:pPr>
        <w:spacing w:after="40" w:before="40"/>
        <w:ind w:left="720" w:hanging="0"/>
      </w:pPr>
      <w:hyperlink w:history="1" w:anchor="nexia_h_338">
        <w:r>
          <w:rPr>
            <w:b/>
            <w:bCs/>
            <w:color w:val="6B7280"/>
            <w:sz w:val="20"/>
            <w:szCs w:val="20"/>
          </w:rPr>
          <w:t xml:space="preserve">1.11.1.  </w:t>
        </w:r>
        <w:r>
          <w:rPr>
            <w:b w:val="false"/>
            <w:bCs w:val="false"/>
            <w:color w:val="6B7280"/>
            <w:sz w:val="20"/>
            <w:szCs w:val="20"/>
          </w:rPr>
          <w:t xml:space="preserve">DIAGRAM 5 — FULL SITE EVACUATION PLAN — AERIAL VIEW</w:t>
        </w:r>
      </w:hyperlink>
    </w:p>
    <w:p>
      <w:pPr>
        <w:spacing w:after="40" w:before="40"/>
        <w:ind w:left="360" w:hanging="0"/>
      </w:pPr>
      <w:hyperlink w:history="1" w:anchor="nexia_h_348">
        <w:r>
          <w:rPr>
            <w:b/>
            <w:bCs/>
            <w:color w:val="2C3344"/>
            <w:sz w:val="22"/>
            <w:szCs w:val="22"/>
          </w:rPr>
          <w:t xml:space="preserve">1.12.  </w:t>
        </w:r>
        <w:r>
          <w:rPr>
            <w:b w:val="false"/>
            <w:bCs w:val="false"/>
            <w:color w:val="2C3344"/>
            <w:sz w:val="22"/>
            <w:szCs w:val="22"/>
          </w:rPr>
          <w:t xml:space="preserve">Conclusion and Commitments</w:t>
        </w:r>
      </w:hyperlink>
    </w:p>
    <w:p>
      <w:pPr>
        <w:spacing w:after="40" w:before="40"/>
        <w:ind w:left="360" w:hanging="0"/>
      </w:pPr>
      <w:hyperlink w:history="1" w:anchor="nexia_h_375">
        <w:r>
          <w:rPr>
            <w:b/>
            <w:bCs/>
            <w:color w:val="2C3344"/>
            <w:sz w:val="22"/>
            <w:szCs w:val="22"/>
          </w:rPr>
          <w:t xml:space="preserve">1.13.  </w:t>
        </w:r>
        <w:r>
          <w:rPr>
            <w:b w:val="false"/>
            <w:bCs w:val="false"/>
            <w:color w:val="2C3344"/>
            <w:sz w:val="22"/>
            <w:szCs w:val="22"/>
          </w:rPr>
          <w:t xml:space="preserve">Bibliography</w:t>
        </w:r>
      </w:hyperlink>
    </w:p>
    <w:p>
      <w:pPr>
        <w:spacing w:after="40" w:before="40"/>
        <w:ind w:left="360" w:hanging="0"/>
      </w:pPr>
      <w:hyperlink w:history="1" w:anchor="nexia_h_395">
        <w:r>
          <w:rPr>
            <w:b/>
            <w:bCs/>
            <w:color w:val="2C3344"/>
            <w:sz w:val="22"/>
            <w:szCs w:val="22"/>
          </w:rPr>
          <w:t xml:space="preserve">1.14.  </w:t>
        </w:r>
        <w:r>
          <w:rPr>
            <w:b w:val="false"/>
            <w:bCs w:val="false"/>
            <w:color w:val="2C3344"/>
            <w:sz w:val="22"/>
            <w:szCs w:val="22"/>
          </w:rPr>
          <w:t xml:space="preserve">Glossary</w:t>
        </w:r>
      </w:hyperlink>
    </w:p>
    <w:p>
      <w:r>
        <w:br w:type="page"/>
      </w:r>
    </w:p>
    <w:p>
      <w:pPr>
        <w:spacing w:after="120" w:line="320"/>
        <w:jc w:val="both"/>
      </w:pPr>
      <w:r>
        <w:t xml:space="preserve">Good. Standards confirmed:</w:t>
      </w:r>
    </w:p>
    <w:p>
      <w:pPr>
        <w:pStyle w:val="ListParagraph"/>
        <w:numPr>
          <w:ilvl w:val="0"/>
          <w:numId w:val="1"/>
        </w:numPr>
        <w:spacing w:line="300"/>
      </w:pPr>
      <w:r>
        <w:rPr>
          <w:b/>
          <w:bCs/>
        </w:rPr>
        <w:t xml:space="preserve">ISO 7010:2019/Amd 8:2024</w:t>
      </w:r>
      <w:r>
        <w:t xml:space="preserve"> — published May 2024 — is the current amendment in force.</w:t>
      </w:r>
    </w:p>
    <w:p>
      <w:pPr>
        <w:pStyle w:val="ListParagraph"/>
        <w:numPr>
          <w:ilvl w:val="0"/>
          <w:numId w:val="1"/>
        </w:numPr>
        <w:spacing w:line="300"/>
      </w:pPr>
      <w:r>
        <w:rPr>
          <w:b/>
          <w:bCs/>
        </w:rPr>
        <w:t xml:space="preserve">NF EN 12101-2</w:t>
      </w:r>
      <w:r>
        <w:t xml:space="preserve"> — minimum vent area of 1 m² for every 200 m² of floor space.</w:t>
      </w:r>
    </w:p>
    <w:p/>
    <w:p>
      <w:pPr>
        <w:spacing w:after="120" w:line="320"/>
        <w:jc w:val="both"/>
      </w:pPr>
      <w:r>
        <w:t xml:space="preserve">Generating the </w:t>
      </w:r>
      <w:r>
        <w:rPr>
          <w:b/>
          <w:bCs/>
        </w:rPr>
        <w:t xml:space="preserve">complete notice in one single Word document</w:t>
      </w:r>
      <w:r>
        <w:t xml:space="preserve"> now. Volume ~50 pages with all 5 diagrams fully rendered inline — no split, no confirmation required.</w:t>
      </w:r>
    </w:p>
    <w:p/>
    <w:p>
      <w:pPr>
        <w:pBdr>
          <w:bottom w:val="single" w:color="E5E1D8" w:sz="6" w:space="1"/>
        </w:pBdr>
        <w:spacing w:after="120" w:before="120"/>
      </w:pPr>
      <w:r>
        <w:t xml:space="preserve"/>
      </w:r>
    </w:p>
    <w:p/>
    <w:p>
      <w:pPr>
        <w:pStyle w:val="Heading2"/>
      </w:pPr>
      <w:bookmarkStart w:name="nexia_h_8" w:id="1"/>
      <w:r>
        <w:rPr>
          <w:b/>
          <w:bCs/>
        </w:rPr>
        <w:t xml:space="preserve">1.1.  </w:t>
      </w:r>
      <w:r>
        <w:t xml:space="preserve">Fire Safety Notice — Premium Door Manufacturing Workshop</w:t>
      </w:r>
      <w:bookmarkEnd w:id="1"/>
    </w:p>
    <w:p>
      <w:pPr>
        <w:pStyle w:val="Heading3"/>
      </w:pPr>
      <w:bookmarkStart w:name="nexia_h_9" w:id="1"/>
      <w:r>
        <w:rPr>
          <w:b/>
          <w:bCs/>
        </w:rPr>
        <w:t xml:space="preserve">1.1.1.  </w:t>
      </w:r>
      <w:r>
        <w:t xml:space="preserve">Ngoundiane, Thiès Region, Senegal</w:t>
      </w:r>
      <w:bookmarkEnd w:id="1"/>
    </w:p>
    <w:p>
      <w:pPr>
        <w:pStyle w:val="Heading3"/>
      </w:pPr>
      <w:bookmarkStart w:name="nexia_h_10" w:id="1"/>
      <w:r>
        <w:rPr>
          <w:b/>
          <w:bCs/>
        </w:rPr>
        <w:t xml:space="preserve">1.1.2.  </w:t>
      </w:r>
      <w:r>
        <w:t xml:space="preserve">Complete Document — All Sections and Diagrams</w:t>
      </w:r>
      <w:bookmarkEnd w:id="1"/>
    </w:p>
    <w:p/>
    <w:p>
      <w:pPr>
        <w:pBdr>
          <w:bottom w:val="single" w:color="E5E1D8" w:sz="6" w:space="1"/>
        </w:pBdr>
        <w:spacing w:after="120" w:before="120"/>
      </w:pPr>
      <w:r>
        <w:t xml:space="preserve"/>
      </w:r>
    </w:p>
    <w:p/>
    <w:p>
      <w:pPr>
        <w:pStyle w:val="Heading2"/>
      </w:pPr>
      <w:bookmarkStart w:name="nexia_h_14" w:id="1"/>
      <w:r>
        <w:rPr>
          <w:b/>
          <w:bCs/>
        </w:rPr>
        <w:t xml:space="preserve">1.2.  </w:t>
      </w:r>
      <w:r>
        <w:t xml:space="preserve">Regulatory and Normative Framework</w:t>
      </w:r>
      <w:bookmarkEnd w:id="1"/>
    </w:p>
    <w:p/>
    <w:p>
      <w:pPr>
        <w:pStyle w:val="Heading3"/>
      </w:pPr>
      <w:bookmarkStart w:name="nexia_h_16" w:id="1"/>
      <w:r>
        <w:rPr>
          <w:b/>
          <w:bCs/>
        </w:rPr>
        <w:t xml:space="preserve">1.2.1.  </w:t>
      </w:r>
      <w:r>
        <w:t xml:space="preserve">Applicable Senegalese Legislation</w:t>
      </w:r>
      <w:bookmarkEnd w:id="1"/>
    </w:p>
    <w:p/>
    <w:p>
      <w:pPr>
        <w:spacing w:after="120" w:line="320"/>
        <w:jc w:val="both"/>
      </w:pPr>
      <w:r>
        <w:t xml:space="preserve">Senegal's fire safety legal framework for industrial and commercial establishments is governed by a comprehensive set of regulatory instruments that impose binding obligations regarding building design, occupant protection, staff training and periodic inspections.</w:t>
      </w:r>
    </w:p>
    <w:p/>
    <w:tbl>
      <w:tblPr>
        <w:tblW w:type="pct" w:w="100%"/>
        <w:tblBorders>
          <w:top w:val="single" w:color="BFBFBF" w:sz="6"/>
          <w:left w:val="single" w:color="BFBFBF" w:sz="6"/>
          <w:bottom w:val="single" w:color="BFBFBF" w:sz="6"/>
          <w:right w:val="single" w:color="BFBFBF" w:sz="6"/>
          <w:insideH w:val="single" w:color="BFBFBF" w:sz="6"/>
          <w:insideV w:val="single" w:color="BFBFBF" w:sz="6"/>
        </w:tblBorders>
      </w:tblPr>
      <w:tblGrid>
        <w:gridCol w:w="100"/>
        <w:gridCol w:w="100"/>
        <w:gridCol w:w="100"/>
      </w:tblGrid>
      <w:tr>
        <w:trPr>
          <w:tblHeader/>
        </w:trPr>
        <w:tc>
          <w:tcPr>
            <w:tcW w:type="pct" w:w="33%"/>
            <w:shd w:fill="1A1F2E" w:color="auto" w:val="clear"/>
            <w:tcMar>
              <w:top w:type="dxa" w:w="100"/>
              <w:left w:type="dxa" w:w="110"/>
              <w:bottom w:type="dxa" w:w="100"/>
              <w:right w:type="dxa" w:w="110"/>
            </w:tcMar>
          </w:tcPr>
          <w:p>
            <w:pPr>
              <w:spacing w:after="0" w:before="0"/>
              <w:jc w:val="left"/>
            </w:pPr>
            <w:r>
              <w:rPr>
                <w:b/>
                <w:bCs/>
                <w:color w:val="FFFFFF"/>
                <w:sz w:val="22"/>
                <w:szCs w:val="22"/>
              </w:rPr>
              <w:t xml:space="preserve">Reference</w:t>
            </w:r>
          </w:p>
        </w:tc>
        <w:tc>
          <w:tcPr>
            <w:tcW w:type="pct" w:w="33%"/>
            <w:shd w:fill="1A1F2E" w:color="auto" w:val="clear"/>
            <w:tcMar>
              <w:top w:type="dxa" w:w="100"/>
              <w:left w:type="dxa" w:w="110"/>
              <w:bottom w:type="dxa" w:w="100"/>
              <w:right w:type="dxa" w:w="110"/>
            </w:tcMar>
          </w:tcPr>
          <w:p>
            <w:pPr>
              <w:spacing w:after="0" w:before="0"/>
              <w:jc w:val="left"/>
            </w:pPr>
            <w:r>
              <w:rPr>
                <w:b/>
                <w:bCs/>
                <w:color w:val="FFFFFF"/>
                <w:sz w:val="22"/>
                <w:szCs w:val="22"/>
              </w:rPr>
              <w:t xml:space="preserve">Subject</w:t>
            </w:r>
          </w:p>
        </w:tc>
        <w:tc>
          <w:tcPr>
            <w:tcW w:type="pct" w:w="33%"/>
            <w:shd w:fill="1A1F2E" w:color="auto" w:val="clear"/>
            <w:tcMar>
              <w:top w:type="dxa" w:w="100"/>
              <w:left w:type="dxa" w:w="110"/>
              <w:bottom w:type="dxa" w:w="100"/>
              <w:right w:type="dxa" w:w="110"/>
            </w:tcMar>
          </w:tcPr>
          <w:p>
            <w:pPr>
              <w:spacing w:after="0" w:before="0"/>
              <w:jc w:val="left"/>
            </w:pPr>
            <w:r>
              <w:rPr>
                <w:b/>
                <w:bCs/>
                <w:color w:val="FFFFFF"/>
                <w:sz w:val="22"/>
                <w:szCs w:val="22"/>
              </w:rPr>
              <w:t xml:space="preserve">Applicability</w:t>
            </w:r>
          </w:p>
        </w:tc>
      </w:tr>
      <w:tr>
        <w:tc>
          <w:tcPr>
            <w:tcW w:type="pct" w:w="33%"/>
            <w:tcMar>
              <w:top w:type="dxa" w:w="70"/>
              <w:left w:type="dxa" w:w="110"/>
              <w:bottom w:type="dxa" w:w="70"/>
              <w:right w:type="dxa" w:w="110"/>
            </w:tcMar>
          </w:tcPr>
          <w:p>
            <w:pPr>
              <w:spacing w:after="0" w:before="0"/>
              <w:jc w:val="left"/>
            </w:pPr>
            <w:r>
              <w:rPr>
                <w:sz w:val="22"/>
                <w:szCs w:val="22"/>
              </w:rPr>
              <w:t xml:space="preserve">Decree No. 2010-99 of 27 January 2010</w:t>
            </w:r>
          </w:p>
        </w:tc>
        <w:tc>
          <w:tcPr>
            <w:tcW w:type="pct" w:w="33%"/>
            <w:tcMar>
              <w:top w:type="dxa" w:w="70"/>
              <w:left w:type="dxa" w:w="110"/>
              <w:bottom w:type="dxa" w:w="70"/>
              <w:right w:type="dxa" w:w="110"/>
            </w:tcMar>
          </w:tcPr>
          <w:p>
            <w:pPr>
              <w:spacing w:after="0" w:before="0"/>
              <w:jc w:val="left"/>
            </w:pPr>
            <w:r>
              <w:rPr>
                <w:sz w:val="22"/>
                <w:szCs w:val="22"/>
              </w:rPr>
              <w:t xml:space="preserve">Regulatory part of the Construction Code</w:t>
            </w:r>
          </w:p>
        </w:tc>
        <w:tc>
          <w:tcPr>
            <w:tcW w:type="pct" w:w="33%"/>
            <w:tcMar>
              <w:top w:type="dxa" w:w="70"/>
              <w:left w:type="dxa" w:w="110"/>
              <w:bottom w:type="dxa" w:w="70"/>
              <w:right w:type="dxa" w:w="110"/>
            </w:tcMar>
          </w:tcPr>
          <w:p>
            <w:pPr>
              <w:spacing w:after="0" w:before="0"/>
              <w:jc w:val="left"/>
            </w:pPr>
            <w:r>
              <w:rPr>
                <w:sz w:val="22"/>
                <w:szCs w:val="22"/>
              </w:rPr>
              <w:t xml:space="preserve">Structure, fire resistance, evacuation routes</w:t>
            </w:r>
          </w:p>
        </w:tc>
      </w:tr>
      <w:tr>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Decree No. 2009-1450 of 30 December 2009</w:t>
            </w:r>
          </w:p>
        </w:tc>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Regulatory part of the Urban Planning Code</w:t>
            </w:r>
          </w:p>
        </w:tc>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Site access, fire engine access routes</w:t>
            </w:r>
          </w:p>
        </w:tc>
      </w:tr>
      <w:tr>
        <w:tc>
          <w:tcPr>
            <w:tcW w:type="pct" w:w="33%"/>
            <w:tcMar>
              <w:top w:type="dxa" w:w="70"/>
              <w:left w:type="dxa" w:w="110"/>
              <w:bottom w:type="dxa" w:w="70"/>
              <w:right w:type="dxa" w:w="110"/>
            </w:tcMar>
          </w:tcPr>
          <w:p>
            <w:pPr>
              <w:spacing w:after="0" w:before="0"/>
              <w:jc w:val="left"/>
            </w:pPr>
            <w:r>
              <w:rPr>
                <w:sz w:val="22"/>
                <w:szCs w:val="22"/>
              </w:rPr>
              <w:t xml:space="preserve">Interministerial Order No. 5945 of 14 May 1969</w:t>
            </w:r>
          </w:p>
        </w:tc>
        <w:tc>
          <w:tcPr>
            <w:tcW w:type="pct" w:w="33%"/>
            <w:tcMar>
              <w:top w:type="dxa" w:w="70"/>
              <w:left w:type="dxa" w:w="110"/>
              <w:bottom w:type="dxa" w:w="70"/>
              <w:right w:type="dxa" w:w="110"/>
            </w:tcMar>
          </w:tcPr>
          <w:p>
            <w:pPr>
              <w:spacing w:after="0" w:before="0"/>
              <w:jc w:val="left"/>
            </w:pPr>
            <w:r>
              <w:rPr>
                <w:sz w:val="22"/>
                <w:szCs w:val="22"/>
              </w:rPr>
              <w:t xml:space="preserve">Fire and panic safety in ERP</w:t>
            </w:r>
          </w:p>
        </w:tc>
        <w:tc>
          <w:tcPr>
            <w:tcW w:type="pct" w:w="33%"/>
            <w:tcMar>
              <w:top w:type="dxa" w:w="70"/>
              <w:left w:type="dxa" w:w="110"/>
              <w:bottom w:type="dxa" w:w="70"/>
              <w:right w:type="dxa" w:w="110"/>
            </w:tcMar>
          </w:tcPr>
          <w:p>
            <w:pPr>
              <w:spacing w:after="0" w:before="0"/>
              <w:jc w:val="left"/>
            </w:pPr>
            <w:r>
              <w:rPr>
                <w:sz w:val="22"/>
                <w:szCs w:val="22"/>
              </w:rPr>
              <w:t xml:space="preserve">Showroom — ERP Type M, 5th category</w:t>
            </w:r>
          </w:p>
        </w:tc>
      </w:tr>
      <w:tr>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Labour Code — Articles L.182 et seq.</w:t>
            </w:r>
          </w:p>
        </w:tc>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Occupational hygiene and safety</w:t>
            </w:r>
          </w:p>
        </w:tc>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All employees on site</w:t>
            </w:r>
          </w:p>
        </w:tc>
      </w:tr>
      <w:tr>
        <w:tc>
          <w:tcPr>
            <w:tcW w:type="pct" w:w="33%"/>
            <w:tcMar>
              <w:top w:type="dxa" w:w="70"/>
              <w:left w:type="dxa" w:w="110"/>
              <w:bottom w:type="dxa" w:w="70"/>
              <w:right w:type="dxa" w:w="110"/>
            </w:tcMar>
          </w:tcPr>
          <w:p>
            <w:pPr>
              <w:spacing w:after="0" w:before="0"/>
              <w:jc w:val="left"/>
            </w:pPr>
            <w:r>
              <w:rPr>
                <w:sz w:val="22"/>
                <w:szCs w:val="22"/>
              </w:rPr>
              <w:t xml:space="preserve">Law No. 2008-41 on Civil Protection</w:t>
            </w:r>
          </w:p>
        </w:tc>
        <w:tc>
          <w:tcPr>
            <w:tcW w:type="pct" w:w="33%"/>
            <w:tcMar>
              <w:top w:type="dxa" w:w="70"/>
              <w:left w:type="dxa" w:w="110"/>
              <w:bottom w:type="dxa" w:w="70"/>
              <w:right w:type="dxa" w:w="110"/>
            </w:tcMar>
          </w:tcPr>
          <w:p>
            <w:pPr>
              <w:spacing w:after="0" w:before="0"/>
              <w:jc w:val="left"/>
            </w:pPr>
            <w:r>
              <w:rPr>
                <w:sz w:val="22"/>
                <w:szCs w:val="22"/>
              </w:rPr>
              <w:t xml:space="preserve">General civil protection obligations</w:t>
            </w:r>
          </w:p>
        </w:tc>
        <w:tc>
          <w:tcPr>
            <w:tcW w:type="pct" w:w="33%"/>
            <w:tcMar>
              <w:top w:type="dxa" w:w="70"/>
              <w:left w:type="dxa" w:w="110"/>
              <w:bottom w:type="dxa" w:w="70"/>
              <w:right w:type="dxa" w:w="110"/>
            </w:tcMar>
          </w:tcPr>
          <w:p>
            <w:pPr>
              <w:spacing w:after="0" w:before="0"/>
              <w:jc w:val="left"/>
            </w:pPr>
            <w:r>
              <w:rPr>
                <w:sz w:val="22"/>
                <w:szCs w:val="22"/>
              </w:rPr>
              <w:t xml:space="preserve">Entire site</w:t>
            </w:r>
          </w:p>
        </w:tc>
      </w:tr>
      <w:tr>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Environmental Code — Article L9</w:t>
            </w:r>
          </w:p>
        </w:tc>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Classified installations (equivalent ICPE)</w:t>
            </w:r>
          </w:p>
        </w:tc>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Wood workshop, solvent storage</w:t>
            </w:r>
          </w:p>
        </w:tc>
      </w:tr>
      <w:tr>
        <w:tc>
          <w:tcPr>
            <w:tcW w:type="pct" w:w="33%"/>
            <w:tcMar>
              <w:top w:type="dxa" w:w="70"/>
              <w:left w:type="dxa" w:w="110"/>
              <w:bottom w:type="dxa" w:w="70"/>
              <w:right w:type="dxa" w:w="110"/>
            </w:tcMar>
          </w:tcPr>
          <w:p>
            <w:pPr>
              <w:spacing w:after="0" w:before="0"/>
              <w:jc w:val="left"/>
            </w:pPr>
            <w:r>
              <w:rPr>
                <w:sz w:val="22"/>
                <w:szCs w:val="22"/>
              </w:rPr>
              <w:t xml:space="preserve">Decree No. 2001-282 of 12 April 2001</w:t>
            </w:r>
          </w:p>
        </w:tc>
        <w:tc>
          <w:tcPr>
            <w:tcW w:type="pct" w:w="33%"/>
            <w:tcMar>
              <w:top w:type="dxa" w:w="70"/>
              <w:left w:type="dxa" w:w="110"/>
              <w:bottom w:type="dxa" w:w="70"/>
              <w:right w:type="dxa" w:w="110"/>
            </w:tcMar>
          </w:tcPr>
          <w:p>
            <w:pPr>
              <w:spacing w:after="0" w:before="0"/>
              <w:jc w:val="left"/>
            </w:pPr>
            <w:r>
              <w:rPr>
                <w:sz w:val="22"/>
                <w:szCs w:val="22"/>
              </w:rPr>
              <w:t xml:space="preserve">Fire Safety Officer (FSO) qualification</w:t>
            </w:r>
          </w:p>
        </w:tc>
        <w:tc>
          <w:tcPr>
            <w:tcW w:type="pct" w:w="33%"/>
            <w:tcMar>
              <w:top w:type="dxa" w:w="70"/>
              <w:left w:type="dxa" w:w="110"/>
              <w:bottom w:type="dxa" w:w="70"/>
              <w:right w:type="dxa" w:w="110"/>
            </w:tcMar>
          </w:tcPr>
          <w:p>
            <w:pPr>
              <w:spacing w:after="0" w:before="0"/>
              <w:jc w:val="left"/>
            </w:pPr>
            <w:r>
              <w:rPr>
                <w:sz w:val="22"/>
                <w:szCs w:val="22"/>
              </w:rPr>
              <w:t xml:space="preserve">FSO nominally designated</w:t>
            </w:r>
          </w:p>
        </w:tc>
      </w:tr>
    </w:tbl>
    <w:p/>
    <w:p/>
    <w:p>
      <w:pPr>
        <w:pStyle w:val="Heading3"/>
      </w:pPr>
      <w:bookmarkStart w:name="nexia_h_22" w:id="1"/>
      <w:r>
        <w:rPr>
          <w:b/>
          <w:bCs/>
        </w:rPr>
        <w:t xml:space="preserve">1.2.2.  </w:t>
      </w:r>
      <w:r>
        <w:t xml:space="preserve">International Technical Standards</w:t>
      </w:r>
      <w:bookmarkEnd w:id="1"/>
    </w:p>
    <w:p/>
    <w:p>
      <w:pPr>
        <w:spacing w:after="120" w:line="320"/>
        <w:jc w:val="both"/>
      </w:pPr>
      <w:r>
        <w:t xml:space="preserve">The following international and European standards are applied as technical references for all sizing, equipment selection and verification procedures in this notice:</w:t>
      </w:r>
    </w:p>
    <w:p/>
    <w:tbl>
      <w:tblPr>
        <w:tblW w:type="pct" w:w="100%"/>
        <w:tblBorders>
          <w:top w:val="single" w:color="BFBFBF" w:sz="6"/>
          <w:left w:val="single" w:color="BFBFBF" w:sz="6"/>
          <w:bottom w:val="single" w:color="BFBFBF" w:sz="6"/>
          <w:right w:val="single" w:color="BFBFBF" w:sz="6"/>
          <w:insideH w:val="single" w:color="BFBFBF" w:sz="6"/>
          <w:insideV w:val="single" w:color="BFBFBF" w:sz="6"/>
        </w:tblBorders>
      </w:tblPr>
      <w:tblGrid>
        <w:gridCol w:w="100"/>
        <w:gridCol w:w="100"/>
        <w:gridCol w:w="100"/>
      </w:tblGrid>
      <w:tr>
        <w:trPr>
          <w:tblHeader/>
        </w:trPr>
        <w:tc>
          <w:tcPr>
            <w:tcW w:type="pct" w:w="33%"/>
            <w:shd w:fill="1A1F2E" w:color="auto" w:val="clear"/>
            <w:tcMar>
              <w:top w:type="dxa" w:w="100"/>
              <w:left w:type="dxa" w:w="110"/>
              <w:bottom w:type="dxa" w:w="100"/>
              <w:right w:type="dxa" w:w="110"/>
            </w:tcMar>
          </w:tcPr>
          <w:p>
            <w:pPr>
              <w:spacing w:after="0" w:before="0"/>
              <w:jc w:val="left"/>
            </w:pPr>
            <w:r>
              <w:rPr>
                <w:b/>
                <w:bCs/>
                <w:color w:val="FFFFFF"/>
                <w:sz w:val="22"/>
                <w:szCs w:val="22"/>
              </w:rPr>
              <w:t xml:space="preserve">Standard</w:t>
            </w:r>
          </w:p>
        </w:tc>
        <w:tc>
          <w:tcPr>
            <w:tcW w:type="pct" w:w="33%"/>
            <w:shd w:fill="1A1F2E" w:color="auto" w:val="clear"/>
            <w:tcMar>
              <w:top w:type="dxa" w:w="100"/>
              <w:left w:type="dxa" w:w="110"/>
              <w:bottom w:type="dxa" w:w="100"/>
              <w:right w:type="dxa" w:w="110"/>
            </w:tcMar>
          </w:tcPr>
          <w:p>
            <w:pPr>
              <w:spacing w:after="0" w:before="0"/>
              <w:jc w:val="left"/>
            </w:pPr>
            <w:r>
              <w:rPr>
                <w:b/>
                <w:bCs/>
                <w:color w:val="FFFFFF"/>
                <w:sz w:val="22"/>
                <w:szCs w:val="22"/>
              </w:rPr>
              <w:t xml:space="preserve">Title</w:t>
            </w:r>
          </w:p>
        </w:tc>
        <w:tc>
          <w:tcPr>
            <w:tcW w:type="pct" w:w="33%"/>
            <w:shd w:fill="1A1F2E" w:color="auto" w:val="clear"/>
            <w:tcMar>
              <w:top w:type="dxa" w:w="100"/>
              <w:left w:type="dxa" w:w="110"/>
              <w:bottom w:type="dxa" w:w="100"/>
              <w:right w:type="dxa" w:w="110"/>
            </w:tcMar>
          </w:tcPr>
          <w:p>
            <w:pPr>
              <w:spacing w:after="0" w:before="0"/>
              <w:jc w:val="left"/>
            </w:pPr>
            <w:r>
              <w:rPr>
                <w:b/>
                <w:bCs/>
                <w:color w:val="FFFFFF"/>
                <w:sz w:val="22"/>
                <w:szCs w:val="22"/>
              </w:rPr>
              <w:t xml:space="preserve">Application</w:t>
            </w:r>
          </w:p>
        </w:tc>
      </w:tr>
      <w:tr>
        <w:tc>
          <w:tcPr>
            <w:tcW w:type="pct" w:w="33%"/>
            <w:tcMar>
              <w:top w:type="dxa" w:w="70"/>
              <w:left w:type="dxa" w:w="110"/>
              <w:bottom w:type="dxa" w:w="70"/>
              <w:right w:type="dxa" w:w="110"/>
            </w:tcMar>
          </w:tcPr>
          <w:p>
            <w:pPr>
              <w:spacing w:after="0" w:before="0"/>
              <w:jc w:val="left"/>
            </w:pPr>
            <w:r>
              <w:rPr>
                <w:sz w:val="22"/>
                <w:szCs w:val="22"/>
              </w:rPr>
              <w:t xml:space="preserve">ISO 7010:2019/Amd 8:2024</w:t>
            </w:r>
          </w:p>
        </w:tc>
        <w:tc>
          <w:tcPr>
            <w:tcW w:type="pct" w:w="33%"/>
            <w:tcMar>
              <w:top w:type="dxa" w:w="70"/>
              <w:left w:type="dxa" w:w="110"/>
              <w:bottom w:type="dxa" w:w="70"/>
              <w:right w:type="dxa" w:w="110"/>
            </w:tcMar>
          </w:tcPr>
          <w:p>
            <w:pPr>
              <w:spacing w:after="0" w:before="0"/>
              <w:jc w:val="left"/>
            </w:pPr>
            <w:r>
              <w:rPr>
                <w:sz w:val="22"/>
                <w:szCs w:val="22"/>
              </w:rPr>
              <w:t xml:space="preserve">Graphical symbols — Safety colours and registered safety signs</w:t>
            </w:r>
          </w:p>
        </w:tc>
        <w:tc>
          <w:tcPr>
            <w:tcW w:type="pct" w:w="33%"/>
            <w:tcMar>
              <w:top w:type="dxa" w:w="70"/>
              <w:left w:type="dxa" w:w="110"/>
              <w:bottom w:type="dxa" w:w="70"/>
              <w:right w:type="dxa" w:w="110"/>
            </w:tcMar>
          </w:tcPr>
          <w:p>
            <w:pPr>
              <w:spacing w:after="0" w:before="0"/>
              <w:jc w:val="left"/>
            </w:pPr>
            <w:r>
              <w:rPr>
                <w:sz w:val="22"/>
                <w:szCs w:val="22"/>
              </w:rPr>
              <w:t xml:space="preserve">All safety signage on site</w:t>
            </w:r>
          </w:p>
        </w:tc>
      </w:tr>
      <w:tr>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ISO 45001:2018</w:t>
            </w:r>
          </w:p>
        </w:tc>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Occupational health and safety management systems</w:t>
            </w:r>
          </w:p>
        </w:tc>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Global safety management</w:t>
            </w:r>
          </w:p>
        </w:tc>
      </w:tr>
      <w:tr>
        <w:tc>
          <w:tcPr>
            <w:tcW w:type="pct" w:w="33%"/>
            <w:tcMar>
              <w:top w:type="dxa" w:w="70"/>
              <w:left w:type="dxa" w:w="110"/>
              <w:bottom w:type="dxa" w:w="70"/>
              <w:right w:type="dxa" w:w="110"/>
            </w:tcMar>
          </w:tcPr>
          <w:p>
            <w:pPr>
              <w:spacing w:after="0" w:before="0"/>
              <w:jc w:val="left"/>
            </w:pPr>
            <w:r>
              <w:rPr>
                <w:sz w:val="22"/>
                <w:szCs w:val="22"/>
              </w:rPr>
              <w:t xml:space="preserve">NF EN 54 (series)</w:t>
            </w:r>
          </w:p>
        </w:tc>
        <w:tc>
          <w:tcPr>
            <w:tcW w:type="pct" w:w="33%"/>
            <w:tcMar>
              <w:top w:type="dxa" w:w="70"/>
              <w:left w:type="dxa" w:w="110"/>
              <w:bottom w:type="dxa" w:w="70"/>
              <w:right w:type="dxa" w:w="110"/>
            </w:tcMar>
          </w:tcPr>
          <w:p>
            <w:pPr>
              <w:spacing w:after="0" w:before="0"/>
              <w:jc w:val="left"/>
            </w:pPr>
            <w:r>
              <w:rPr>
                <w:sz w:val="22"/>
                <w:szCs w:val="22"/>
              </w:rPr>
              <w:t xml:space="preserve">Fire detection and fire alarm systems</w:t>
            </w:r>
          </w:p>
        </w:tc>
        <w:tc>
          <w:tcPr>
            <w:tcW w:type="pct" w:w="33%"/>
            <w:tcMar>
              <w:top w:type="dxa" w:w="70"/>
              <w:left w:type="dxa" w:w="110"/>
              <w:bottom w:type="dxa" w:w="70"/>
              <w:right w:type="dxa" w:w="110"/>
            </w:tcMar>
          </w:tcPr>
          <w:p>
            <w:pPr>
              <w:spacing w:after="0" w:before="0"/>
              <w:jc w:val="left"/>
            </w:pPr>
            <w:r>
              <w:rPr>
                <w:sz w:val="22"/>
                <w:szCs w:val="22"/>
              </w:rPr>
              <w:t xml:space="preserve">Detection system design</w:t>
            </w:r>
          </w:p>
        </w:tc>
      </w:tr>
      <w:tr>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NF S 61-919</w:t>
            </w:r>
          </w:p>
        </w:tc>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Fire detection systems — Installation rules</w:t>
            </w:r>
          </w:p>
        </w:tc>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Detector spacing and layout</w:t>
            </w:r>
          </w:p>
        </w:tc>
      </w:tr>
      <w:tr>
        <w:tc>
          <w:tcPr>
            <w:tcW w:type="pct" w:w="33%"/>
            <w:tcMar>
              <w:top w:type="dxa" w:w="70"/>
              <w:left w:type="dxa" w:w="110"/>
              <w:bottom w:type="dxa" w:w="70"/>
              <w:right w:type="dxa" w:w="110"/>
            </w:tcMar>
          </w:tcPr>
          <w:p>
            <w:pPr>
              <w:spacing w:after="0" w:before="0"/>
              <w:jc w:val="left"/>
            </w:pPr>
            <w:r>
              <w:rPr>
                <w:sz w:val="22"/>
                <w:szCs w:val="22"/>
              </w:rPr>
              <w:t xml:space="preserve">NF S 61-937</w:t>
            </w:r>
          </w:p>
        </w:tc>
        <w:tc>
          <w:tcPr>
            <w:tcW w:type="pct" w:w="33%"/>
            <w:tcMar>
              <w:top w:type="dxa" w:w="70"/>
              <w:left w:type="dxa" w:w="110"/>
              <w:bottom w:type="dxa" w:w="70"/>
              <w:right w:type="dxa" w:w="110"/>
            </w:tcMar>
          </w:tcPr>
          <w:p>
            <w:pPr>
              <w:spacing w:after="0" w:before="0"/>
              <w:jc w:val="left"/>
            </w:pPr>
            <w:r>
              <w:rPr>
                <w:sz w:val="22"/>
                <w:szCs w:val="22"/>
              </w:rPr>
              <w:t xml:space="preserve">Fire Safety Management Systems (FSMS)</w:t>
            </w:r>
          </w:p>
        </w:tc>
        <w:tc>
          <w:tcPr>
            <w:tcW w:type="pct" w:w="33%"/>
            <w:tcMar>
              <w:top w:type="dxa" w:w="70"/>
              <w:left w:type="dxa" w:w="110"/>
              <w:bottom w:type="dxa" w:w="70"/>
              <w:right w:type="dxa" w:w="110"/>
            </w:tcMar>
          </w:tcPr>
          <w:p>
            <w:pPr>
              <w:spacing w:after="0" w:before="0"/>
              <w:jc w:val="left"/>
            </w:pPr>
            <w:r>
              <w:rPr>
                <w:sz w:val="22"/>
                <w:szCs w:val="22"/>
              </w:rPr>
              <w:t xml:space="preserve">FSMS command architecture</w:t>
            </w:r>
          </w:p>
        </w:tc>
      </w:tr>
      <w:tr>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NF EN 12101-2</w:t>
            </w:r>
          </w:p>
        </w:tc>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Natural smoke and heat exhaust ventilators</w:t>
            </w:r>
          </w:p>
        </w:tc>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Smoke vent sizing</w:t>
            </w:r>
          </w:p>
        </w:tc>
      </w:tr>
      <w:tr>
        <w:tc>
          <w:tcPr>
            <w:tcW w:type="pct" w:w="33%"/>
            <w:tcMar>
              <w:top w:type="dxa" w:w="70"/>
              <w:left w:type="dxa" w:w="110"/>
              <w:bottom w:type="dxa" w:w="70"/>
              <w:right w:type="dxa" w:w="110"/>
            </w:tcMar>
          </w:tcPr>
          <w:p>
            <w:pPr>
              <w:spacing w:after="0" w:before="0"/>
              <w:jc w:val="left"/>
            </w:pPr>
            <w:r>
              <w:rPr>
                <w:sz w:val="22"/>
                <w:szCs w:val="22"/>
              </w:rPr>
              <w:t xml:space="preserve">NF EN 671-1/2</w:t>
            </w:r>
          </w:p>
        </w:tc>
        <w:tc>
          <w:tcPr>
            <w:tcW w:type="pct" w:w="33%"/>
            <w:tcMar>
              <w:top w:type="dxa" w:w="70"/>
              <w:left w:type="dxa" w:w="110"/>
              <w:bottom w:type="dxa" w:w="70"/>
              <w:right w:type="dxa" w:w="110"/>
            </w:tcMar>
          </w:tcPr>
          <w:p>
            <w:pPr>
              <w:spacing w:after="0" w:before="0"/>
              <w:jc w:val="left"/>
            </w:pPr>
            <w:r>
              <w:rPr>
                <w:sz w:val="22"/>
                <w:szCs w:val="22"/>
              </w:rPr>
              <w:t xml:space="preserve">Fixed firefighting systems — Hose reels</w:t>
            </w:r>
          </w:p>
        </w:tc>
        <w:tc>
          <w:tcPr>
            <w:tcW w:type="pct" w:w="33%"/>
            <w:tcMar>
              <w:top w:type="dxa" w:w="70"/>
              <w:left w:type="dxa" w:w="110"/>
              <w:bottom w:type="dxa" w:w="70"/>
              <w:right w:type="dxa" w:w="110"/>
            </w:tcMar>
          </w:tcPr>
          <w:p>
            <w:pPr>
              <w:spacing w:after="0" w:before="0"/>
              <w:jc w:val="left"/>
            </w:pPr>
            <w:r>
              <w:rPr>
                <w:sz w:val="22"/>
                <w:szCs w:val="22"/>
              </w:rPr>
              <w:t xml:space="preserve">FHR sizing and installation</w:t>
            </w:r>
          </w:p>
        </w:tc>
      </w:tr>
      <w:tr>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NF EN 3-7</w:t>
            </w:r>
          </w:p>
        </w:tc>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Portable fire extinguishers — Characteristics</w:t>
            </w:r>
          </w:p>
        </w:tc>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Extinguisher selection</w:t>
            </w:r>
          </w:p>
        </w:tc>
      </w:tr>
      <w:tr>
        <w:tc>
          <w:tcPr>
            <w:tcW w:type="pct" w:w="33%"/>
            <w:tcMar>
              <w:top w:type="dxa" w:w="70"/>
              <w:left w:type="dxa" w:w="110"/>
              <w:bottom w:type="dxa" w:w="70"/>
              <w:right w:type="dxa" w:w="110"/>
            </w:tcMar>
          </w:tcPr>
          <w:p>
            <w:pPr>
              <w:spacing w:after="0" w:before="0"/>
              <w:jc w:val="left"/>
            </w:pPr>
            <w:r>
              <w:rPr>
                <w:sz w:val="22"/>
                <w:szCs w:val="22"/>
              </w:rPr>
              <w:t xml:space="preserve">NF EN 1838</w:t>
            </w:r>
          </w:p>
        </w:tc>
        <w:tc>
          <w:tcPr>
            <w:tcW w:type="pct" w:w="33%"/>
            <w:tcMar>
              <w:top w:type="dxa" w:w="70"/>
              <w:left w:type="dxa" w:w="110"/>
              <w:bottom w:type="dxa" w:w="70"/>
              <w:right w:type="dxa" w:w="110"/>
            </w:tcMar>
          </w:tcPr>
          <w:p>
            <w:pPr>
              <w:spacing w:after="0" w:before="0"/>
              <w:jc w:val="left"/>
            </w:pPr>
            <w:r>
              <w:rPr>
                <w:sz w:val="22"/>
                <w:szCs w:val="22"/>
              </w:rPr>
              <w:t xml:space="preserve">Emergency lighting — BAES</w:t>
            </w:r>
          </w:p>
        </w:tc>
        <w:tc>
          <w:tcPr>
            <w:tcW w:type="pct" w:w="33%"/>
            <w:tcMar>
              <w:top w:type="dxa" w:w="70"/>
              <w:left w:type="dxa" w:w="110"/>
              <w:bottom w:type="dxa" w:w="70"/>
              <w:right w:type="dxa" w:w="110"/>
            </w:tcMar>
          </w:tcPr>
          <w:p>
            <w:pPr>
              <w:spacing w:after="0" w:before="0"/>
              <w:jc w:val="left"/>
            </w:pPr>
            <w:r>
              <w:rPr>
                <w:sz w:val="22"/>
                <w:szCs w:val="22"/>
              </w:rPr>
              <w:t xml:space="preserve">Emergency lighting design</w:t>
            </w:r>
          </w:p>
        </w:tc>
      </w:tr>
      <w:tr>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NF X 08-070</w:t>
            </w:r>
          </w:p>
        </w:tc>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Fire safety plans — Design and implantation</w:t>
            </w:r>
          </w:p>
        </w:tc>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Plan drawing conventions</w:t>
            </w:r>
          </w:p>
        </w:tc>
      </w:tr>
    </w:tbl>
    <w:p/>
    <w:p/>
    <w:p>
      <w:pPr>
        <w:spacing w:after="120" w:line="320"/>
        <w:jc w:val="both"/>
      </w:pPr>
      <w:r>
        <w:t xml:space="preserve">The current edition (ISO 7010:2019, with amendments through 2024) contains over 200 registered symbols across five categories. Each symbol has a reference number — for example, P002 for "No smoking" or E001 for "Emergency exit" — so safety managers can call out exact signs in compliance documents.</w:t>
      </w:r>
    </w:p>
    <w:p/>
    <w:p>
      <w:pPr>
        <w:spacing w:after="120" w:line="320"/>
        <w:jc w:val="both"/>
      </w:pPr>
      <w:r>
        <w:t xml:space="preserve">ISO 7010:2019/Amd 8:2024, the latest amendment, was published in May 2024.</w:t>
      </w:r>
    </w:p>
    <w:p/>
    <w:p>
      <w:pPr>
        <w:pStyle w:val="Heading3"/>
      </w:pPr>
      <w:bookmarkStart w:name="nexia_h_32" w:id="1"/>
      <w:r>
        <w:rPr>
          <w:b/>
          <w:bCs/>
        </w:rPr>
        <w:t xml:space="preserve">1.2.3.  </w:t>
      </w:r>
      <w:r>
        <w:t xml:space="preserve">Establishment Classification</w:t>
      </w:r>
      <w:bookmarkEnd w:id="1"/>
    </w:p>
    <w:p/>
    <w:tbl>
      <w:tblPr>
        <w:tblW w:type="pct" w:w="100%"/>
        <w:tblBorders>
          <w:top w:val="single" w:color="BFBFBF" w:sz="6"/>
          <w:left w:val="single" w:color="BFBFBF" w:sz="6"/>
          <w:bottom w:val="single" w:color="BFBFBF" w:sz="6"/>
          <w:right w:val="single" w:color="BFBFBF" w:sz="6"/>
          <w:insideH w:val="single" w:color="BFBFBF" w:sz="6"/>
          <w:insideV w:val="single" w:color="BFBFBF" w:sz="6"/>
        </w:tblBorders>
      </w:tblPr>
      <w:tblGrid>
        <w:gridCol w:w="100"/>
        <w:gridCol w:w="100"/>
        <w:gridCol w:w="100"/>
      </w:tblGrid>
      <w:tr>
        <w:trPr>
          <w:tblHeader/>
        </w:trPr>
        <w:tc>
          <w:tcPr>
            <w:tcW w:type="pct" w:w="33%"/>
            <w:shd w:fill="1A1F2E" w:color="auto" w:val="clear"/>
            <w:tcMar>
              <w:top w:type="dxa" w:w="100"/>
              <w:left w:type="dxa" w:w="110"/>
              <w:bottom w:type="dxa" w:w="100"/>
              <w:right w:type="dxa" w:w="110"/>
            </w:tcMar>
          </w:tcPr>
          <w:p>
            <w:pPr>
              <w:spacing w:after="0" w:before="0"/>
              <w:jc w:val="left"/>
            </w:pPr>
            <w:r>
              <w:rPr>
                <w:b/>
                <w:bCs/>
                <w:color w:val="FFFFFF"/>
                <w:sz w:val="22"/>
                <w:szCs w:val="22"/>
              </w:rPr>
              <w:t xml:space="preserve">Criterion</w:t>
            </w:r>
          </w:p>
        </w:tc>
        <w:tc>
          <w:tcPr>
            <w:tcW w:type="pct" w:w="33%"/>
            <w:shd w:fill="1A1F2E" w:color="auto" w:val="clear"/>
            <w:tcMar>
              <w:top w:type="dxa" w:w="100"/>
              <w:left w:type="dxa" w:w="110"/>
              <w:bottom w:type="dxa" w:w="100"/>
              <w:right w:type="dxa" w:w="110"/>
            </w:tcMar>
          </w:tcPr>
          <w:p>
            <w:pPr>
              <w:spacing w:after="0" w:before="0"/>
              <w:jc w:val="left"/>
            </w:pPr>
            <w:r>
              <w:rPr>
                <w:b/>
                <w:bCs/>
                <w:color w:val="FFFFFF"/>
                <w:sz w:val="22"/>
                <w:szCs w:val="22"/>
              </w:rPr>
              <w:t xml:space="preserve">Value</w:t>
            </w:r>
          </w:p>
        </w:tc>
        <w:tc>
          <w:tcPr>
            <w:tcW w:type="pct" w:w="33%"/>
            <w:shd w:fill="1A1F2E" w:color="auto" w:val="clear"/>
            <w:tcMar>
              <w:top w:type="dxa" w:w="100"/>
              <w:left w:type="dxa" w:w="110"/>
              <w:bottom w:type="dxa" w:w="100"/>
              <w:right w:type="dxa" w:w="110"/>
            </w:tcMar>
          </w:tcPr>
          <w:p>
            <w:pPr>
              <w:spacing w:after="0" w:before="0"/>
              <w:jc w:val="left"/>
            </w:pPr>
            <w:r>
              <w:rPr>
                <w:b/>
                <w:bCs/>
                <w:color w:val="FFFFFF"/>
                <w:sz w:val="22"/>
                <w:szCs w:val="22"/>
              </w:rPr>
              <w:t xml:space="preserve">Classification</w:t>
            </w:r>
          </w:p>
        </w:tc>
      </w:tr>
      <w:tr>
        <w:tc>
          <w:tcPr>
            <w:tcW w:type="pct" w:w="33%"/>
            <w:tcMar>
              <w:top w:type="dxa" w:w="70"/>
              <w:left w:type="dxa" w:w="110"/>
              <w:bottom w:type="dxa" w:w="70"/>
              <w:right w:type="dxa" w:w="110"/>
            </w:tcMar>
          </w:tcPr>
          <w:p>
            <w:pPr>
              <w:spacing w:after="0" w:before="0"/>
              <w:jc w:val="left"/>
            </w:pPr>
            <w:r>
              <w:rPr>
                <w:sz w:val="22"/>
                <w:szCs w:val="22"/>
              </w:rPr>
              <w:t xml:space="preserve">Primary activity</w:t>
            </w:r>
          </w:p>
        </w:tc>
        <w:tc>
          <w:tcPr>
            <w:tcW w:type="pct" w:w="33%"/>
            <w:tcMar>
              <w:top w:type="dxa" w:w="70"/>
              <w:left w:type="dxa" w:w="110"/>
              <w:bottom w:type="dxa" w:w="70"/>
              <w:right w:type="dxa" w:w="110"/>
            </w:tcMar>
          </w:tcPr>
          <w:p>
            <w:pPr>
              <w:spacing w:after="0" w:before="0"/>
              <w:jc w:val="left"/>
            </w:pPr>
            <w:r>
              <w:rPr>
                <w:sz w:val="22"/>
                <w:szCs w:val="22"/>
              </w:rPr>
              <w:t xml:space="preserve">Premium door manufacturing — wood joinery</w:t>
            </w:r>
          </w:p>
        </w:tc>
        <w:tc>
          <w:tcPr>
            <w:tcW w:type="pct" w:w="33%"/>
            <w:tcMar>
              <w:top w:type="dxa" w:w="70"/>
              <w:left w:type="dxa" w:w="110"/>
              <w:bottom w:type="dxa" w:w="70"/>
              <w:right w:type="dxa" w:w="110"/>
            </w:tcMar>
          </w:tcPr>
          <w:p>
            <w:pPr>
              <w:spacing w:after="0" w:before="0"/>
              <w:jc w:val="left"/>
            </w:pPr>
            <w:r>
              <w:rPr>
                <w:sz w:val="22"/>
                <w:szCs w:val="22"/>
              </w:rPr>
              <w:t xml:space="preserve">Industrial workshop</w:t>
            </w:r>
          </w:p>
        </w:tc>
      </w:tr>
      <w:tr>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Secondary activity</w:t>
            </w:r>
          </w:p>
        </w:tc>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Retail exhibition — showroom</w:t>
            </w:r>
          </w:p>
        </w:tc>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ERP Type M — 5th category</w:t>
            </w:r>
          </w:p>
        </w:tc>
      </w:tr>
      <w:tr>
        <w:tc>
          <w:tcPr>
            <w:tcW w:type="pct" w:w="33%"/>
            <w:tcMar>
              <w:top w:type="dxa" w:w="70"/>
              <w:left w:type="dxa" w:w="110"/>
              <w:bottom w:type="dxa" w:w="70"/>
              <w:right w:type="dxa" w:w="110"/>
            </w:tcMar>
          </w:tcPr>
          <w:p>
            <w:pPr>
              <w:spacing w:after="0" w:before="0"/>
              <w:jc w:val="left"/>
            </w:pPr>
            <w:r>
              <w:rPr>
                <w:sz w:val="22"/>
                <w:szCs w:val="22"/>
              </w:rPr>
              <w:t xml:space="preserve">Total staff</w:t>
            </w:r>
          </w:p>
        </w:tc>
        <w:tc>
          <w:tcPr>
            <w:tcW w:type="pct" w:w="33%"/>
            <w:tcMar>
              <w:top w:type="dxa" w:w="70"/>
              <w:left w:type="dxa" w:w="110"/>
              <w:bottom w:type="dxa" w:w="70"/>
              <w:right w:type="dxa" w:w="110"/>
            </w:tcMar>
          </w:tcPr>
          <w:p>
            <w:pPr>
              <w:spacing w:after="0" w:before="0"/>
              <w:jc w:val="left"/>
            </w:pPr>
            <w:r>
              <w:rPr>
                <w:sz w:val="22"/>
                <w:szCs w:val="22"/>
              </w:rPr>
              <w:t xml:space="preserve">15 to 25 persons</w:t>
            </w:r>
          </w:p>
        </w:tc>
        <w:tc>
          <w:tcPr>
            <w:tcW w:type="pct" w:w="33%"/>
            <w:tcMar>
              <w:top w:type="dxa" w:w="70"/>
              <w:left w:type="dxa" w:w="110"/>
              <w:bottom w:type="dxa" w:w="70"/>
              <w:right w:type="dxa" w:w="110"/>
            </w:tcMar>
          </w:tcPr>
          <w:p>
            <w:pPr>
              <w:spacing w:after="0" w:before="0"/>
              <w:jc w:val="left"/>
            </w:pPr>
            <w:r>
              <w:rPr>
                <w:sz w:val="22"/>
                <w:szCs w:val="22"/>
              </w:rPr>
              <w:t xml:space="preserve">Industrial establishment</w:t>
            </w:r>
          </w:p>
        </w:tc>
      </w:tr>
      <w:tr>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Workshop area</w:t>
            </w:r>
          </w:p>
        </w:tc>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400 m² — clear height 6 m</w:t>
            </w:r>
          </w:p>
        </w:tc>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High-risk industrial zone</w:t>
            </w:r>
          </w:p>
        </w:tc>
      </w:tr>
      <w:tr>
        <w:tc>
          <w:tcPr>
            <w:tcW w:type="pct" w:w="33%"/>
            <w:tcMar>
              <w:top w:type="dxa" w:w="70"/>
              <w:left w:type="dxa" w:w="110"/>
              <w:bottom w:type="dxa" w:w="70"/>
              <w:right w:type="dxa" w:w="110"/>
            </w:tcMar>
          </w:tcPr>
          <w:p>
            <w:pPr>
              <w:spacing w:after="0" w:before="0"/>
              <w:jc w:val="left"/>
            </w:pPr>
            <w:r>
              <w:rPr>
                <w:sz w:val="22"/>
                <w:szCs w:val="22"/>
              </w:rPr>
              <w:t xml:space="preserve">Showroom area</w:t>
            </w:r>
          </w:p>
        </w:tc>
        <w:tc>
          <w:tcPr>
            <w:tcW w:type="pct" w:w="33%"/>
            <w:tcMar>
              <w:top w:type="dxa" w:w="70"/>
              <w:left w:type="dxa" w:w="110"/>
              <w:bottom w:type="dxa" w:w="70"/>
              <w:right w:type="dxa" w:w="110"/>
            </w:tcMar>
          </w:tcPr>
          <w:p>
            <w:pPr>
              <w:spacing w:after="0" w:before="0"/>
              <w:jc w:val="left"/>
            </w:pPr>
            <w:r>
              <w:rPr>
                <w:sz w:val="22"/>
                <w:szCs w:val="22"/>
              </w:rPr>
              <w:t xml:space="preserve">200 m² — clear height 3.5 m</w:t>
            </w:r>
          </w:p>
        </w:tc>
        <w:tc>
          <w:tcPr>
            <w:tcW w:type="pct" w:w="33%"/>
            <w:tcMar>
              <w:top w:type="dxa" w:w="70"/>
              <w:left w:type="dxa" w:w="110"/>
              <w:bottom w:type="dxa" w:w="70"/>
              <w:right w:type="dxa" w:w="110"/>
            </w:tcMar>
          </w:tcPr>
          <w:p>
            <w:pPr>
              <w:spacing w:after="0" w:before="0"/>
              <w:jc w:val="left"/>
            </w:pPr>
            <w:r>
              <w:rPr>
                <w:sz w:val="22"/>
                <w:szCs w:val="22"/>
              </w:rPr>
              <w:t xml:space="preserve">ERP commercial space</w:t>
            </w:r>
          </w:p>
        </w:tc>
      </w:tr>
      <w:tr>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Office area</w:t>
            </w:r>
          </w:p>
        </w:tc>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50 m²</w:t>
            </w:r>
          </w:p>
        </w:tc>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Standard office space</w:t>
            </w:r>
          </w:p>
        </w:tc>
      </w:tr>
      <w:tr>
        <w:tc>
          <w:tcPr>
            <w:tcW w:type="pct" w:w="33%"/>
            <w:tcMar>
              <w:top w:type="dxa" w:w="70"/>
              <w:left w:type="dxa" w:w="110"/>
              <w:bottom w:type="dxa" w:w="70"/>
              <w:right w:type="dxa" w:w="110"/>
            </w:tcMar>
          </w:tcPr>
          <w:p>
            <w:pPr>
              <w:spacing w:after="0" w:before="0"/>
              <w:jc w:val="left"/>
            </w:pPr>
            <w:r>
              <w:rPr>
                <w:sz w:val="22"/>
                <w:szCs w:val="22"/>
              </w:rPr>
              <w:t xml:space="preserve">HTA substation</w:t>
            </w:r>
          </w:p>
        </w:tc>
        <w:tc>
          <w:tcPr>
            <w:tcW w:type="pct" w:w="33%"/>
            <w:tcMar>
              <w:top w:type="dxa" w:w="70"/>
              <w:left w:type="dxa" w:w="110"/>
              <w:bottom w:type="dxa" w:w="70"/>
              <w:right w:type="dxa" w:w="110"/>
            </w:tcMar>
          </w:tcPr>
          <w:p>
            <w:pPr>
              <w:spacing w:after="0" w:before="0"/>
              <w:jc w:val="left"/>
            </w:pPr>
            <w:r>
              <w:rPr>
                <w:sz w:val="22"/>
                <w:szCs w:val="22"/>
              </w:rPr>
              <w:t xml:space="preserve">12 m²</w:t>
            </w:r>
          </w:p>
        </w:tc>
        <w:tc>
          <w:tcPr>
            <w:tcW w:type="pct" w:w="33%"/>
            <w:tcMar>
              <w:top w:type="dxa" w:w="70"/>
              <w:left w:type="dxa" w:w="110"/>
              <w:bottom w:type="dxa" w:w="70"/>
              <w:right w:type="dxa" w:w="110"/>
            </w:tcMar>
          </w:tcPr>
          <w:p>
            <w:pPr>
              <w:spacing w:after="0" w:before="0"/>
              <w:jc w:val="left"/>
            </w:pPr>
            <w:r>
              <w:rPr>
                <w:sz w:val="22"/>
                <w:szCs w:val="22"/>
              </w:rPr>
              <w:t xml:space="preserve">Electrical enclosure REI 120</w:t>
            </w:r>
          </w:p>
        </w:tc>
      </w:tr>
      <w:tr>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Calorific load</w:t>
            </w:r>
          </w:p>
        </w:tc>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&gt; 100 MJ/m² (timber + solvents)</w:t>
            </w:r>
          </w:p>
        </w:tc>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High risk — Class I</w:t>
            </w:r>
          </w:p>
        </w:tc>
      </w:tr>
      <w:tr>
        <w:tc>
          <w:tcPr>
            <w:tcW w:type="pct" w:w="33%"/>
            <w:tcMar>
              <w:top w:type="dxa" w:w="70"/>
              <w:left w:type="dxa" w:w="110"/>
              <w:bottom w:type="dxa" w:w="70"/>
              <w:right w:type="dxa" w:w="110"/>
            </w:tcMar>
          </w:tcPr>
          <w:p>
            <w:pPr>
              <w:spacing w:after="0" w:before="0"/>
              <w:jc w:val="left"/>
            </w:pPr>
            <w:r>
              <w:rPr>
                <w:sz w:val="22"/>
                <w:szCs w:val="22"/>
              </w:rPr>
              <w:t xml:space="preserve">Solvent storage</w:t>
            </w:r>
          </w:p>
        </w:tc>
        <w:tc>
          <w:tcPr>
            <w:tcW w:type="pct" w:w="33%"/>
            <w:tcMar>
              <w:top w:type="dxa" w:w="70"/>
              <w:left w:type="dxa" w:w="110"/>
              <w:bottom w:type="dxa" w:w="70"/>
              <w:right w:type="dxa" w:w="110"/>
            </w:tcMar>
          </w:tcPr>
          <w:p>
            <w:pPr>
              <w:spacing w:after="0" w:before="0"/>
              <w:jc w:val="left"/>
            </w:pPr>
            <w:r>
              <w:rPr>
                <w:sz w:val="22"/>
                <w:szCs w:val="22"/>
              </w:rPr>
              <w:t xml:space="preserve">&lt; 500 L</w:t>
            </w:r>
          </w:p>
        </w:tc>
        <w:tc>
          <w:tcPr>
            <w:tcW w:type="pct" w:w="33%"/>
            <w:tcMar>
              <w:top w:type="dxa" w:w="70"/>
              <w:left w:type="dxa" w:w="110"/>
              <w:bottom w:type="dxa" w:w="70"/>
              <w:right w:type="dxa" w:w="110"/>
            </w:tcMar>
          </w:tcPr>
          <w:p>
            <w:pPr>
              <w:spacing w:after="0" w:before="0"/>
              <w:jc w:val="left"/>
            </w:pPr>
            <w:r>
              <w:rPr>
                <w:sz w:val="22"/>
                <w:szCs w:val="22"/>
              </w:rPr>
              <w:t xml:space="preserve">Requires REI 60 separation</w:t>
            </w:r>
          </w:p>
        </w:tc>
      </w:tr>
      <w:tr>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Operating hours</w:t>
            </w:r>
          </w:p>
        </w:tc>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08:00 – 18:00, Monday to Saturday</w:t>
            </w:r>
          </w:p>
        </w:tc>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Day operation + night guard</w:t>
            </w:r>
          </w:p>
        </w:tc>
      </w:tr>
    </w:tbl>
    <w:p/>
    <w:p/>
    <w:p>
      <w:pPr>
        <w:pBdr>
          <w:bottom w:val="single" w:color="E5E1D8" w:sz="6" w:space="1"/>
        </w:pBdr>
        <w:spacing w:after="120" w:before="120"/>
      </w:pPr>
      <w:r>
        <w:t xml:space="preserve"/>
      </w:r>
    </w:p>
    <w:p/>
    <w:p>
      <w:pPr>
        <w:pStyle w:val="Heading2"/>
      </w:pPr>
      <w:bookmarkStart w:name="nexia_h_38" w:id="1"/>
      <w:r>
        <w:rPr>
          <w:b/>
          <w:bCs/>
        </w:rPr>
        <w:t xml:space="preserve">1.3.  </w:t>
      </w:r>
      <w:r>
        <w:t xml:space="preserve">Establishment Description and Risk Analysis</w:t>
      </w:r>
      <w:bookmarkEnd w:id="1"/>
    </w:p>
    <w:p/>
    <w:p>
      <w:pPr>
        <w:pStyle w:val="Heading3"/>
      </w:pPr>
      <w:bookmarkStart w:name="nexia_h_40" w:id="1"/>
      <w:r>
        <w:rPr>
          <w:b/>
          <w:bCs/>
        </w:rPr>
        <w:t xml:space="preserve">1.3.1.  </w:t>
      </w:r>
      <w:r>
        <w:t xml:space="preserve">Site General Description</w:t>
      </w:r>
      <w:bookmarkEnd w:id="1"/>
    </w:p>
    <w:p/>
    <w:tbl>
      <w:tblPr>
        <w:tblW w:type="pct" w:w="100%"/>
        <w:tblBorders>
          <w:top w:val="single" w:color="BFBFBF" w:sz="6"/>
          <w:left w:val="single" w:color="BFBFBF" w:sz="6"/>
          <w:bottom w:val="single" w:color="BFBFBF" w:sz="6"/>
          <w:right w:val="single" w:color="BFBFBF" w:sz="6"/>
          <w:insideH w:val="single" w:color="BFBFBF" w:sz="6"/>
          <w:insideV w:val="single" w:color="BFBFBF" w:sz="6"/>
        </w:tblBorders>
      </w:tblPr>
      <w:tblGrid>
        <w:gridCol w:w="100"/>
        <w:gridCol w:w="100"/>
      </w:tblGrid>
      <w:tr>
        <w:trPr>
          <w:tblHeader/>
        </w:trPr>
        <w:tc>
          <w:tcPr>
            <w:tcW w:type="pct" w:w="50%"/>
            <w:shd w:fill="1A1F2E" w:color="auto" w:val="clear"/>
            <w:tcMar>
              <w:top w:type="dxa" w:w="100"/>
              <w:left w:type="dxa" w:w="110"/>
              <w:bottom w:type="dxa" w:w="100"/>
              <w:right w:type="dxa" w:w="110"/>
            </w:tcMar>
          </w:tcPr>
          <w:p>
            <w:pPr>
              <w:spacing w:after="0" w:before="0"/>
              <w:jc w:val="left"/>
            </w:pPr>
            <w:r>
              <w:rPr>
                <w:b/>
                <w:bCs/>
                <w:color w:val="FFFFFF"/>
                <w:sz w:val="22"/>
                <w:szCs w:val="22"/>
              </w:rPr>
              <w:t xml:space="preserve">Parameter</w:t>
            </w:r>
          </w:p>
        </w:tc>
        <w:tc>
          <w:tcPr>
            <w:tcW w:type="pct" w:w="50%"/>
            <w:shd w:fill="1A1F2E" w:color="auto" w:val="clear"/>
            <w:tcMar>
              <w:top w:type="dxa" w:w="100"/>
              <w:left w:type="dxa" w:w="110"/>
              <w:bottom w:type="dxa" w:w="100"/>
              <w:right w:type="dxa" w:w="110"/>
            </w:tcMar>
          </w:tcPr>
          <w:p>
            <w:pPr>
              <w:spacing w:after="0" w:before="0"/>
              <w:jc w:val="left"/>
            </w:pPr>
            <w:r>
              <w:rPr>
                <w:b/>
                <w:bCs/>
                <w:color w:val="FFFFFF"/>
                <w:sz w:val="22"/>
                <w:szCs w:val="22"/>
              </w:rPr>
              <w:t xml:space="preserve">Description</w:t>
            </w:r>
          </w:p>
        </w:tc>
      </w:tr>
      <w:tr>
        <w:tc>
          <w:tcPr>
            <w:tcW w:type="pct" w:w="50%"/>
            <w:tcMar>
              <w:top w:type="dxa" w:w="70"/>
              <w:left w:type="dxa" w:w="110"/>
              <w:bottom w:type="dxa" w:w="70"/>
              <w:right w:type="dxa" w:w="110"/>
            </w:tcMar>
          </w:tcPr>
          <w:p>
            <w:pPr>
              <w:spacing w:after="0" w:before="0"/>
              <w:jc w:val="left"/>
            </w:pPr>
            <w:r>
              <w:rPr>
                <w:sz w:val="22"/>
                <w:szCs w:val="22"/>
              </w:rPr>
              <w:t xml:space="preserve">Establishment name</w:t>
            </w:r>
          </w:p>
        </w:tc>
        <w:tc>
          <w:tcPr>
            <w:tcW w:type="pct" w:w="50%"/>
            <w:tcMar>
              <w:top w:type="dxa" w:w="70"/>
              <w:left w:type="dxa" w:w="110"/>
              <w:bottom w:type="dxa" w:w="70"/>
              <w:right w:type="dxa" w:w="110"/>
            </w:tcMar>
          </w:tcPr>
          <w:p>
            <w:pPr>
              <w:spacing w:after="0" w:before="0"/>
              <w:jc w:val="left"/>
            </w:pPr>
            <w:r>
              <w:rPr>
                <w:sz w:val="22"/>
                <w:szCs w:val="22"/>
              </w:rPr>
              <w:t xml:space="preserve">Premium Door Manufacturing Workshop</w:t>
            </w:r>
          </w:p>
        </w:tc>
      </w:tr>
      <w:tr>
        <w:tc>
          <w:tcPr>
            <w:tcW w:type="pct" w:w="50%"/>
            <w:shd w:fill="FAF7F2" w:color="auto" w:val="clear"/>
            <w:tcMar>
              <w:top w:type="dxa" w:w="70"/>
              <w:left w:type="dxa" w:w="110"/>
              <w:bottom w:type="dxa" w:w="70"/>
              <w:right w:type="dxa" w:w="110"/>
            </w:tcMar>
          </w:tcPr>
          <w:p>
            <w:pPr>
              <w:spacing w:after="0" w:before="0"/>
              <w:jc w:val="left"/>
            </w:pPr>
            <w:r>
              <w:rPr>
                <w:sz w:val="22"/>
                <w:szCs w:val="22"/>
              </w:rPr>
              <w:t xml:space="preserve">Location</w:t>
            </w:r>
          </w:p>
        </w:tc>
        <w:tc>
          <w:tcPr>
            <w:tcW w:type="pct" w:w="50%"/>
            <w:shd w:fill="FAF7F2" w:color="auto" w:val="clear"/>
            <w:tcMar>
              <w:top w:type="dxa" w:w="70"/>
              <w:left w:type="dxa" w:w="110"/>
              <w:bottom w:type="dxa" w:w="70"/>
              <w:right w:type="dxa" w:w="110"/>
            </w:tcMar>
          </w:tcPr>
          <w:p>
            <w:pPr>
              <w:spacing w:after="0" w:before="0"/>
              <w:jc w:val="left"/>
            </w:pPr>
            <w:r>
              <w:rPr>
                <w:sz w:val="22"/>
                <w:szCs w:val="22"/>
              </w:rPr>
              <w:t xml:space="preserve">Ngoundiane, Thiès Region, Senegal</w:t>
            </w:r>
          </w:p>
        </w:tc>
      </w:tr>
      <w:tr>
        <w:tc>
          <w:tcPr>
            <w:tcW w:type="pct" w:w="50%"/>
            <w:tcMar>
              <w:top w:type="dxa" w:w="70"/>
              <w:left w:type="dxa" w:w="110"/>
              <w:bottom w:type="dxa" w:w="70"/>
              <w:right w:type="dxa" w:w="110"/>
            </w:tcMar>
          </w:tcPr>
          <w:p>
            <w:pPr>
              <w:spacing w:after="0" w:before="0"/>
              <w:jc w:val="left"/>
            </w:pPr>
            <w:r>
              <w:rPr>
                <w:sz w:val="22"/>
                <w:szCs w:val="22"/>
              </w:rPr>
              <w:t xml:space="preserve">GPS coordinates</w:t>
            </w:r>
          </w:p>
        </w:tc>
        <w:tc>
          <w:tcPr>
            <w:tcW w:type="pct" w:w="50%"/>
            <w:tcMar>
              <w:top w:type="dxa" w:w="70"/>
              <w:left w:type="dxa" w:w="110"/>
              <w:bottom w:type="dxa" w:w="70"/>
              <w:right w:type="dxa" w:w="110"/>
            </w:tcMar>
          </w:tcPr>
          <w:p>
            <w:pPr>
              <w:spacing w:after="0" w:before="0"/>
              <w:jc w:val="left"/>
            </w:pPr>
            <w:r>
              <w:rPr>
                <w:sz w:val="22"/>
                <w:szCs w:val="22"/>
              </w:rPr>
              <w:t xml:space="preserve">Approx. 14°41'N — 16°54'W</w:t>
            </w:r>
          </w:p>
        </w:tc>
      </w:tr>
      <w:tr>
        <w:tc>
          <w:tcPr>
            <w:tcW w:type="pct" w:w="50%"/>
            <w:shd w:fill="FAF7F2" w:color="auto" w:val="clear"/>
            <w:tcMar>
              <w:top w:type="dxa" w:w="70"/>
              <w:left w:type="dxa" w:w="110"/>
              <w:bottom w:type="dxa" w:w="70"/>
              <w:right w:type="dxa" w:w="110"/>
            </w:tcMar>
          </w:tcPr>
          <w:p>
            <w:pPr>
              <w:spacing w:after="0" w:before="0"/>
              <w:jc w:val="left"/>
            </w:pPr>
            <w:r>
              <w:rPr>
                <w:sz w:val="22"/>
                <w:szCs w:val="22"/>
              </w:rPr>
              <w:t xml:space="preserve">Fire Safety Officer (FSO)</w:t>
            </w:r>
          </w:p>
        </w:tc>
        <w:tc>
          <w:tcPr>
            <w:tcW w:type="pct" w:w="50%"/>
            <w:shd w:fill="FAF7F2" w:color="auto" w:val="clear"/>
            <w:tcMar>
              <w:top w:type="dxa" w:w="70"/>
              <w:left w:type="dxa" w:w="110"/>
              <w:bottom w:type="dxa" w:w="70"/>
              <w:right w:type="dxa" w:w="110"/>
            </w:tcMar>
          </w:tcPr>
          <w:p>
            <w:pPr>
              <w:spacing w:after="0" w:before="0"/>
              <w:jc w:val="left"/>
            </w:pPr>
            <w:r>
              <w:rPr>
                <w:sz w:val="22"/>
                <w:szCs w:val="22"/>
              </w:rPr>
              <w:t xml:space="preserve">To be nominated by name before commissioning</w:t>
            </w:r>
          </w:p>
        </w:tc>
      </w:tr>
      <w:tr>
        <w:tc>
          <w:tcPr>
            <w:tcW w:type="pct" w:w="50%"/>
            <w:tcMar>
              <w:top w:type="dxa" w:w="70"/>
              <w:left w:type="dxa" w:w="110"/>
              <w:bottom w:type="dxa" w:w="70"/>
              <w:right w:type="dxa" w:w="110"/>
            </w:tcMar>
          </w:tcPr>
          <w:p>
            <w:pPr>
              <w:spacing w:after="0" w:before="0"/>
              <w:jc w:val="left"/>
            </w:pPr>
            <w:r>
              <w:rPr>
                <w:sz w:val="22"/>
                <w:szCs w:val="22"/>
              </w:rPr>
              <w:t xml:space="preserve">National emergency number</w:t>
            </w:r>
          </w:p>
        </w:tc>
        <w:tc>
          <w:tcPr>
            <w:tcW w:type="pct" w:w="50%"/>
            <w:tcMar>
              <w:top w:type="dxa" w:w="70"/>
              <w:left w:type="dxa" w:w="110"/>
              <w:bottom w:type="dxa" w:w="70"/>
              <w:right w:type="dxa" w:w="110"/>
            </w:tcMar>
          </w:tcPr>
          <w:p>
            <w:pPr>
              <w:spacing w:after="0" w:before="0"/>
              <w:jc w:val="left"/>
            </w:pPr>
            <w:r>
              <w:rPr>
                <w:sz w:val="22"/>
                <w:szCs w:val="22"/>
              </w:rPr>
              <w:t xml:space="preserve">Tel. 18 — Fire brigade Thiès</w:t>
            </w:r>
          </w:p>
        </w:tc>
      </w:tr>
      <w:tr>
        <w:tc>
          <w:tcPr>
            <w:tcW w:type="pct" w:w="50%"/>
            <w:shd w:fill="FAF7F2" w:color="auto" w:val="clear"/>
            <w:tcMar>
              <w:top w:type="dxa" w:w="70"/>
              <w:left w:type="dxa" w:w="110"/>
              <w:bottom w:type="dxa" w:w="70"/>
              <w:right w:type="dxa" w:w="110"/>
            </w:tcMar>
          </w:tcPr>
          <w:p>
            <w:pPr>
              <w:spacing w:after="0" w:before="0"/>
              <w:jc w:val="left"/>
            </w:pPr>
            <w:r>
              <w:rPr>
                <w:sz w:val="22"/>
                <w:szCs w:val="22"/>
              </w:rPr>
              <w:t xml:space="preserve">Workshop surface</w:t>
            </w:r>
          </w:p>
        </w:tc>
        <w:tc>
          <w:tcPr>
            <w:tcW w:type="pct" w:w="50%"/>
            <w:shd w:fill="FAF7F2" w:color="auto" w:val="clear"/>
            <w:tcMar>
              <w:top w:type="dxa" w:w="70"/>
              <w:left w:type="dxa" w:w="110"/>
              <w:bottom w:type="dxa" w:w="70"/>
              <w:right w:type="dxa" w:w="110"/>
            </w:tcMar>
          </w:tcPr>
          <w:p>
            <w:pPr>
              <w:spacing w:after="0" w:before="0"/>
              <w:jc w:val="left"/>
            </w:pPr>
            <w:r>
              <w:rPr>
                <w:sz w:val="22"/>
                <w:szCs w:val="22"/>
              </w:rPr>
              <w:t xml:space="preserve">400 m² (20 m × 20 m) — clear height: 6 m</w:t>
            </w:r>
          </w:p>
        </w:tc>
      </w:tr>
      <w:tr>
        <w:tc>
          <w:tcPr>
            <w:tcW w:type="pct" w:w="50%"/>
            <w:tcMar>
              <w:top w:type="dxa" w:w="70"/>
              <w:left w:type="dxa" w:w="110"/>
              <w:bottom w:type="dxa" w:w="70"/>
              <w:right w:type="dxa" w:w="110"/>
            </w:tcMar>
          </w:tcPr>
          <w:p>
            <w:pPr>
              <w:spacing w:after="0" w:before="0"/>
              <w:jc w:val="left"/>
            </w:pPr>
            <w:r>
              <w:rPr>
                <w:sz w:val="22"/>
                <w:szCs w:val="22"/>
              </w:rPr>
              <w:t xml:space="preserve">Showroom surface</w:t>
            </w:r>
          </w:p>
        </w:tc>
        <w:tc>
          <w:tcPr>
            <w:tcW w:type="pct" w:w="50%"/>
            <w:tcMar>
              <w:top w:type="dxa" w:w="70"/>
              <w:left w:type="dxa" w:w="110"/>
              <w:bottom w:type="dxa" w:w="70"/>
              <w:right w:type="dxa" w:w="110"/>
            </w:tcMar>
          </w:tcPr>
          <w:p>
            <w:pPr>
              <w:spacing w:after="0" w:before="0"/>
              <w:jc w:val="left"/>
            </w:pPr>
            <w:r>
              <w:rPr>
                <w:sz w:val="22"/>
                <w:szCs w:val="22"/>
              </w:rPr>
              <w:t xml:space="preserve">200 m² (20 m × 10 m) — clear height: 3.5 m</w:t>
            </w:r>
          </w:p>
        </w:tc>
      </w:tr>
      <w:tr>
        <w:tc>
          <w:tcPr>
            <w:tcW w:type="pct" w:w="50%"/>
            <w:shd w:fill="FAF7F2" w:color="auto" w:val="clear"/>
            <w:tcMar>
              <w:top w:type="dxa" w:w="70"/>
              <w:left w:type="dxa" w:w="110"/>
              <w:bottom w:type="dxa" w:w="70"/>
              <w:right w:type="dxa" w:w="110"/>
            </w:tcMar>
          </w:tcPr>
          <w:p>
            <w:pPr>
              <w:spacing w:after="0" w:before="0"/>
              <w:jc w:val="left"/>
            </w:pPr>
            <w:r>
              <w:rPr>
                <w:sz w:val="22"/>
                <w:szCs w:val="22"/>
              </w:rPr>
              <w:t xml:space="preserve">Offices surface</w:t>
            </w:r>
          </w:p>
        </w:tc>
        <w:tc>
          <w:tcPr>
            <w:tcW w:type="pct" w:w="50%"/>
            <w:shd w:fill="FAF7F2" w:color="auto" w:val="clear"/>
            <w:tcMar>
              <w:top w:type="dxa" w:w="70"/>
              <w:left w:type="dxa" w:w="110"/>
              <w:bottom w:type="dxa" w:w="70"/>
              <w:right w:type="dxa" w:w="110"/>
            </w:tcMar>
          </w:tcPr>
          <w:p>
            <w:pPr>
              <w:spacing w:after="0" w:before="0"/>
              <w:jc w:val="left"/>
            </w:pPr>
            <w:r>
              <w:rPr>
                <w:sz w:val="22"/>
                <w:szCs w:val="22"/>
              </w:rPr>
              <w:t xml:space="preserve">50 m² — ground floor</w:t>
            </w:r>
          </w:p>
        </w:tc>
      </w:tr>
      <w:tr>
        <w:tc>
          <w:tcPr>
            <w:tcW w:type="pct" w:w="50%"/>
            <w:tcMar>
              <w:top w:type="dxa" w:w="70"/>
              <w:left w:type="dxa" w:w="110"/>
              <w:bottom w:type="dxa" w:w="70"/>
              <w:right w:type="dxa" w:w="110"/>
            </w:tcMar>
          </w:tcPr>
          <w:p>
            <w:pPr>
              <w:spacing w:after="0" w:before="0"/>
              <w:jc w:val="left"/>
            </w:pPr>
            <w:r>
              <w:rPr>
                <w:sz w:val="22"/>
                <w:szCs w:val="22"/>
              </w:rPr>
              <w:t xml:space="preserve">HTA substation</w:t>
            </w:r>
          </w:p>
        </w:tc>
        <w:tc>
          <w:tcPr>
            <w:tcW w:type="pct" w:w="50%"/>
            <w:tcMar>
              <w:top w:type="dxa" w:w="70"/>
              <w:left w:type="dxa" w:w="110"/>
              <w:bottom w:type="dxa" w:w="70"/>
              <w:right w:type="dxa" w:w="110"/>
            </w:tcMar>
          </w:tcPr>
          <w:p>
            <w:pPr>
              <w:spacing w:after="0" w:before="0"/>
              <w:jc w:val="left"/>
            </w:pPr>
            <w:r>
              <w:rPr>
                <w:sz w:val="22"/>
                <w:szCs w:val="22"/>
              </w:rPr>
              <w:t xml:space="preserve">12 m² — separate REI 120 enclosure</w:t>
            </w:r>
          </w:p>
        </w:tc>
      </w:tr>
      <w:tr>
        <w:tc>
          <w:tcPr>
            <w:tcW w:type="pct" w:w="50%"/>
            <w:shd w:fill="FAF7F2" w:color="auto" w:val="clear"/>
            <w:tcMar>
              <w:top w:type="dxa" w:w="70"/>
              <w:left w:type="dxa" w:w="110"/>
              <w:bottom w:type="dxa" w:w="70"/>
              <w:right w:type="dxa" w:w="110"/>
            </w:tcMar>
          </w:tcPr>
          <w:p>
            <w:pPr>
              <w:spacing w:after="0" w:before="0"/>
              <w:jc w:val="left"/>
            </w:pPr>
            <w:r>
              <w:rPr>
                <w:sz w:val="22"/>
                <w:szCs w:val="22"/>
              </w:rPr>
              <w:t xml:space="preserve">Maximum occupancy</w:t>
            </w:r>
          </w:p>
        </w:tc>
        <w:tc>
          <w:tcPr>
            <w:tcW w:type="pct" w:w="50%"/>
            <w:shd w:fill="FAF7F2" w:color="auto" w:val="clear"/>
            <w:tcMar>
              <w:top w:type="dxa" w:w="70"/>
              <w:left w:type="dxa" w:w="110"/>
              <w:bottom w:type="dxa" w:w="70"/>
              <w:right w:type="dxa" w:w="110"/>
            </w:tcMar>
          </w:tcPr>
          <w:p>
            <w:pPr>
              <w:spacing w:after="0" w:before="0"/>
              <w:jc w:val="left"/>
            </w:pPr>
            <w:r>
              <w:rPr>
                <w:sz w:val="22"/>
                <w:szCs w:val="22"/>
              </w:rPr>
              <w:t xml:space="preserve">25 persons simultaneously</w:t>
            </w:r>
          </w:p>
        </w:tc>
      </w:tr>
      <w:tr>
        <w:tc>
          <w:tcPr>
            <w:tcW w:type="pct" w:w="50%"/>
            <w:tcMar>
              <w:top w:type="dxa" w:w="70"/>
              <w:left w:type="dxa" w:w="110"/>
              <w:bottom w:type="dxa" w:w="70"/>
              <w:right w:type="dxa" w:w="110"/>
            </w:tcMar>
          </w:tcPr>
          <w:p>
            <w:pPr>
              <w:spacing w:after="0" w:before="0"/>
              <w:jc w:val="left"/>
            </w:pPr>
            <w:r>
              <w:rPr>
                <w:sz w:val="22"/>
                <w:szCs w:val="22"/>
              </w:rPr>
              <w:t xml:space="preserve">Night guard</w:t>
            </w:r>
          </w:p>
        </w:tc>
        <w:tc>
          <w:tcPr>
            <w:tcW w:type="pct" w:w="50%"/>
            <w:tcMar>
              <w:top w:type="dxa" w:w="70"/>
              <w:left w:type="dxa" w:w="110"/>
              <w:bottom w:type="dxa" w:w="70"/>
              <w:right w:type="dxa" w:w="110"/>
            </w:tcMar>
          </w:tcPr>
          <w:p>
            <w:pPr>
              <w:spacing w:after="0" w:before="0"/>
              <w:jc w:val="left"/>
            </w:pPr>
            <w:r>
              <w:rPr>
                <w:sz w:val="22"/>
                <w:szCs w:val="22"/>
              </w:rPr>
              <w:t xml:space="preserve">YES — permanent surveillance post, 24h/7</w:t>
            </w:r>
          </w:p>
        </w:tc>
      </w:tr>
    </w:tbl>
    <w:p/>
    <w:p/>
    <w:p>
      <w:pPr>
        <w:pStyle w:val="Heading3"/>
      </w:pPr>
      <w:bookmarkStart w:name="nexia_h_44" w:id="1"/>
      <w:r>
        <w:rPr>
          <w:b/>
          <w:bCs/>
        </w:rPr>
        <w:t xml:space="preserve">1.3.2.  </w:t>
      </w:r>
      <w:r>
        <w:t xml:space="preserve">Risk Identification Matrix</w:t>
      </w:r>
      <w:bookmarkEnd w:id="1"/>
    </w:p>
    <w:p/>
    <w:p>
      <w:pPr>
        <w:spacing w:after="120" w:line="320"/>
        <w:jc w:val="both"/>
      </w:pPr>
      <w:r>
        <w:t xml:space="preserve">Each identified risk is classified across three dimensions: </w:t>
      </w:r>
      <w:r>
        <w:rPr>
          <w:b/>
          <w:bCs/>
        </w:rPr>
        <w:t xml:space="preserve">probability</w:t>
      </w:r>
      <w:r>
        <w:t xml:space="preserve"> (Very Low / Low / Medium / High), </w:t>
      </w:r>
      <w:r>
        <w:rPr>
          <w:b/>
          <w:bCs/>
        </w:rPr>
        <w:t xml:space="preserve">severity</w:t>
      </w:r>
      <w:r>
        <w:t xml:space="preserve"> (Low / Medium / High / Very High) and resulting </w:t>
      </w:r>
      <w:r>
        <w:rPr>
          <w:b/>
          <w:bCs/>
        </w:rPr>
        <w:t xml:space="preserve">criticality</w:t>
      </w:r>
      <w:r>
        <w:t xml:space="preserve"> level. Criticality = Probability × Severity.</w:t>
      </w:r>
    </w:p>
    <w:p/>
    <w:tbl>
      <w:tblPr>
        <w:tblW w:type="pct" w:w="100%"/>
        <w:tblBorders>
          <w:top w:val="single" w:color="BFBFBF" w:sz="6"/>
          <w:left w:val="single" w:color="BFBFBF" w:sz="6"/>
          <w:bottom w:val="single" w:color="BFBFBF" w:sz="6"/>
          <w:right w:val="single" w:color="BFBFBF" w:sz="6"/>
          <w:insideH w:val="single" w:color="BFBFBF" w:sz="6"/>
          <w:insideV w:val="single" w:color="BFBFBF" w:sz="6"/>
        </w:tblBorders>
      </w:tblPr>
      <w:tblGrid>
        <w:gridCol w:w="100"/>
        <w:gridCol w:w="100"/>
        <w:gridCol w:w="100"/>
        <w:gridCol w:w="100"/>
        <w:gridCol w:w="100"/>
        <w:gridCol w:w="100"/>
        <w:gridCol w:w="100"/>
      </w:tblGrid>
      <w:tr>
        <w:trPr>
          <w:tblHeader/>
        </w:trPr>
        <w:tc>
          <w:tcPr>
            <w:tcW w:type="pct" w:w="14%"/>
            <w:shd w:fill="1A1F2E" w:color="auto" w:val="clear"/>
            <w:tcMar>
              <w:top w:type="dxa" w:w="100"/>
              <w:left w:type="dxa" w:w="110"/>
              <w:bottom w:type="dxa" w:w="100"/>
              <w:right w:type="dxa" w:w="110"/>
            </w:tcMar>
          </w:tcPr>
          <w:p>
            <w:pPr>
              <w:spacing w:after="0" w:before="0"/>
              <w:jc w:val="left"/>
            </w:pPr>
            <w:r>
              <w:rPr>
                <w:b/>
                <w:bCs/>
                <w:color w:val="FFFFFF"/>
                <w:sz w:val="22"/>
                <w:szCs w:val="22"/>
              </w:rPr>
              <w:t xml:space="preserve">No.</w:t>
            </w:r>
          </w:p>
        </w:tc>
        <w:tc>
          <w:tcPr>
            <w:tcW w:type="pct" w:w="14%"/>
            <w:shd w:fill="1A1F2E" w:color="auto" w:val="clear"/>
            <w:tcMar>
              <w:top w:type="dxa" w:w="100"/>
              <w:left w:type="dxa" w:w="110"/>
              <w:bottom w:type="dxa" w:w="100"/>
              <w:right w:type="dxa" w:w="110"/>
            </w:tcMar>
          </w:tcPr>
          <w:p>
            <w:pPr>
              <w:spacing w:after="0" w:before="0"/>
              <w:jc w:val="left"/>
            </w:pPr>
            <w:r>
              <w:rPr>
                <w:b/>
                <w:bCs/>
                <w:color w:val="FFFFFF"/>
                <w:sz w:val="22"/>
                <w:szCs w:val="22"/>
              </w:rPr>
              <w:t xml:space="preserve">Zone</w:t>
            </w:r>
          </w:p>
        </w:tc>
        <w:tc>
          <w:tcPr>
            <w:tcW w:type="pct" w:w="14%"/>
            <w:shd w:fill="1A1F2E" w:color="auto" w:val="clear"/>
            <w:tcMar>
              <w:top w:type="dxa" w:w="100"/>
              <w:left w:type="dxa" w:w="110"/>
              <w:bottom w:type="dxa" w:w="100"/>
              <w:right w:type="dxa" w:w="110"/>
            </w:tcMar>
          </w:tcPr>
          <w:p>
            <w:pPr>
              <w:spacing w:after="0" w:before="0"/>
              <w:jc w:val="left"/>
            </w:pPr>
            <w:r>
              <w:rPr>
                <w:b/>
                <w:bCs/>
                <w:color w:val="FFFFFF"/>
                <w:sz w:val="22"/>
                <w:szCs w:val="22"/>
              </w:rPr>
              <w:t xml:space="preserve">Risk Description</w:t>
            </w:r>
          </w:p>
        </w:tc>
        <w:tc>
          <w:tcPr>
            <w:tcW w:type="pct" w:w="14%"/>
            <w:shd w:fill="1A1F2E" w:color="auto" w:val="clear"/>
            <w:tcMar>
              <w:top w:type="dxa" w:w="100"/>
              <w:left w:type="dxa" w:w="110"/>
              <w:bottom w:type="dxa" w:w="100"/>
              <w:right w:type="dxa" w:w="110"/>
            </w:tcMar>
          </w:tcPr>
          <w:p>
            <w:pPr>
              <w:spacing w:after="0" w:before="0"/>
              <w:jc w:val="left"/>
            </w:pPr>
            <w:r>
              <w:rPr>
                <w:b/>
                <w:bCs/>
                <w:color w:val="FFFFFF"/>
                <w:sz w:val="22"/>
                <w:szCs w:val="22"/>
              </w:rPr>
              <w:t xml:space="preserve">Fire Class</w:t>
            </w:r>
          </w:p>
        </w:tc>
        <w:tc>
          <w:tcPr>
            <w:tcW w:type="pct" w:w="14%"/>
            <w:shd w:fill="1A1F2E" w:color="auto" w:val="clear"/>
            <w:tcMar>
              <w:top w:type="dxa" w:w="100"/>
              <w:left w:type="dxa" w:w="110"/>
              <w:bottom w:type="dxa" w:w="100"/>
              <w:right w:type="dxa" w:w="110"/>
            </w:tcMar>
          </w:tcPr>
          <w:p>
            <w:pPr>
              <w:spacing w:after="0" w:before="0"/>
              <w:jc w:val="left"/>
            </w:pPr>
            <w:r>
              <w:rPr>
                <w:b/>
                <w:bCs/>
                <w:color w:val="FFFFFF"/>
                <w:sz w:val="22"/>
                <w:szCs w:val="22"/>
              </w:rPr>
              <w:t xml:space="preserve">Probability</w:t>
            </w:r>
          </w:p>
        </w:tc>
        <w:tc>
          <w:tcPr>
            <w:tcW w:type="pct" w:w="14%"/>
            <w:shd w:fill="1A1F2E" w:color="auto" w:val="clear"/>
            <w:tcMar>
              <w:top w:type="dxa" w:w="100"/>
              <w:left w:type="dxa" w:w="110"/>
              <w:bottom w:type="dxa" w:w="100"/>
              <w:right w:type="dxa" w:w="110"/>
            </w:tcMar>
          </w:tcPr>
          <w:p>
            <w:pPr>
              <w:spacing w:after="0" w:before="0"/>
              <w:jc w:val="left"/>
            </w:pPr>
            <w:r>
              <w:rPr>
                <w:b/>
                <w:bCs/>
                <w:color w:val="FFFFFF"/>
                <w:sz w:val="22"/>
                <w:szCs w:val="22"/>
              </w:rPr>
              <w:t xml:space="preserve">Severity</w:t>
            </w:r>
          </w:p>
        </w:tc>
        <w:tc>
          <w:tcPr>
            <w:tcW w:type="pct" w:w="14%"/>
            <w:shd w:fill="1A1F2E" w:color="auto" w:val="clear"/>
            <w:tcMar>
              <w:top w:type="dxa" w:w="100"/>
              <w:left w:type="dxa" w:w="110"/>
              <w:bottom w:type="dxa" w:w="100"/>
              <w:right w:type="dxa" w:w="110"/>
            </w:tcMar>
          </w:tcPr>
          <w:p>
            <w:pPr>
              <w:spacing w:after="0" w:before="0"/>
              <w:jc w:val="left"/>
            </w:pPr>
            <w:r>
              <w:rPr>
                <w:b/>
                <w:bCs/>
                <w:color w:val="FFFFFF"/>
                <w:sz w:val="22"/>
                <w:szCs w:val="22"/>
              </w:rPr>
              <w:t xml:space="preserve">Criticality</w:t>
            </w:r>
          </w:p>
        </w:tc>
      </w:tr>
      <w:tr>
        <w:tc>
          <w:tcPr>
            <w:tcW w:type="pct" w:w="14%"/>
            <w:tcMar>
              <w:top w:type="dxa" w:w="70"/>
              <w:left w:type="dxa" w:w="110"/>
              <w:bottom w:type="dxa" w:w="70"/>
              <w:right w:type="dxa" w:w="110"/>
            </w:tcMar>
          </w:tcPr>
          <w:p>
            <w:pPr>
              <w:spacing w:after="0" w:before="0"/>
              <w:jc w:val="left"/>
            </w:pPr>
            <w:r>
              <w:rPr>
                <w:sz w:val="22"/>
                <w:szCs w:val="22"/>
              </w:rPr>
              <w:t xml:space="preserve">R01</w:t>
            </w:r>
          </w:p>
        </w:tc>
        <w:tc>
          <w:tcPr>
            <w:tcW w:type="pct" w:w="14%"/>
            <w:tcMar>
              <w:top w:type="dxa" w:w="70"/>
              <w:left w:type="dxa" w:w="110"/>
              <w:bottom w:type="dxa" w:w="70"/>
              <w:right w:type="dxa" w:w="110"/>
            </w:tcMar>
          </w:tcPr>
          <w:p>
            <w:pPr>
              <w:spacing w:after="0" w:before="0"/>
              <w:jc w:val="left"/>
            </w:pPr>
            <w:r>
              <w:rPr>
                <w:sz w:val="22"/>
                <w:szCs w:val="22"/>
              </w:rPr>
              <w:t xml:space="preserve">Workshop</w:t>
            </w:r>
          </w:p>
        </w:tc>
        <w:tc>
          <w:tcPr>
            <w:tcW w:type="pct" w:w="14%"/>
            <w:tcMar>
              <w:top w:type="dxa" w:w="70"/>
              <w:left w:type="dxa" w:w="110"/>
              <w:bottom w:type="dxa" w:w="70"/>
              <w:right w:type="dxa" w:w="110"/>
            </w:tcMar>
          </w:tcPr>
          <w:p>
            <w:pPr>
              <w:spacing w:after="0" w:before="0"/>
              <w:jc w:val="left"/>
            </w:pPr>
            <w:r>
              <w:rPr>
                <w:sz w:val="22"/>
                <w:szCs w:val="22"/>
              </w:rPr>
              <w:t xml:space="preserve">Machine fire — overheating (circular saw, planer, sander)</w:t>
            </w:r>
          </w:p>
        </w:tc>
        <w:tc>
          <w:tcPr>
            <w:tcW w:type="pct" w:w="14%"/>
            <w:tcMar>
              <w:top w:type="dxa" w:w="70"/>
              <w:left w:type="dxa" w:w="110"/>
              <w:bottom w:type="dxa" w:w="70"/>
              <w:right w:type="dxa" w:w="110"/>
            </w:tcMar>
          </w:tcPr>
          <w:p>
            <w:pPr>
              <w:spacing w:after="0" w:before="0"/>
              <w:jc w:val="left"/>
            </w:pPr>
            <w:r>
              <w:rPr>
                <w:sz w:val="22"/>
                <w:szCs w:val="22"/>
              </w:rPr>
              <w:t xml:space="preserve">A</w:t>
            </w:r>
          </w:p>
        </w:tc>
        <w:tc>
          <w:tcPr>
            <w:tcW w:type="pct" w:w="14%"/>
            <w:tcMar>
              <w:top w:type="dxa" w:w="70"/>
              <w:left w:type="dxa" w:w="110"/>
              <w:bottom w:type="dxa" w:w="70"/>
              <w:right w:type="dxa" w:w="110"/>
            </w:tcMar>
          </w:tcPr>
          <w:p>
            <w:pPr>
              <w:spacing w:after="0" w:before="0"/>
              <w:jc w:val="left"/>
            </w:pPr>
            <w:r>
              <w:rPr>
                <w:sz w:val="22"/>
                <w:szCs w:val="22"/>
              </w:rPr>
              <w:t xml:space="preserve">High</w:t>
            </w:r>
          </w:p>
        </w:tc>
        <w:tc>
          <w:tcPr>
            <w:tcW w:type="pct" w:w="14%"/>
            <w:tcMar>
              <w:top w:type="dxa" w:w="70"/>
              <w:left w:type="dxa" w:w="110"/>
              <w:bottom w:type="dxa" w:w="70"/>
              <w:right w:type="dxa" w:w="110"/>
            </w:tcMar>
          </w:tcPr>
          <w:p>
            <w:pPr>
              <w:spacing w:after="0" w:before="0"/>
              <w:jc w:val="left"/>
            </w:pPr>
            <w:r>
              <w:rPr>
                <w:sz w:val="22"/>
                <w:szCs w:val="22"/>
              </w:rPr>
              <w:t xml:space="preserve">High</w:t>
            </w:r>
          </w:p>
        </w:tc>
        <w:tc>
          <w:tcPr>
            <w:tcW w:type="pct" w:w="14%"/>
            <w:tcMar>
              <w:top w:type="dxa" w:w="70"/>
              <w:left w:type="dxa" w:w="110"/>
              <w:bottom w:type="dxa" w:w="70"/>
              <w:right w:type="dxa" w:w="110"/>
            </w:tcMar>
          </w:tcPr>
          <w:p>
            <w:pPr>
              <w:spacing w:after="0" w:before="0"/>
              <w:jc w:val="left"/>
            </w:pPr>
            <w:r>
              <w:rPr>
                <w:sz w:val="22"/>
                <w:szCs w:val="22"/>
              </w:rPr>
              <w:t xml:space="preserve">🔴 CRITICAL</w:t>
            </w:r>
          </w:p>
        </w:tc>
      </w:tr>
      <w:tr>
        <w:tc>
          <w:tcPr>
            <w:tcW w:type="pct" w:w="14%"/>
            <w:shd w:fill="FAF7F2" w:color="auto" w:val="clear"/>
            <w:tcMar>
              <w:top w:type="dxa" w:w="70"/>
              <w:left w:type="dxa" w:w="110"/>
              <w:bottom w:type="dxa" w:w="70"/>
              <w:right w:type="dxa" w:w="110"/>
            </w:tcMar>
          </w:tcPr>
          <w:p>
            <w:pPr>
              <w:spacing w:after="0" w:before="0"/>
              <w:jc w:val="left"/>
            </w:pPr>
            <w:r>
              <w:rPr>
                <w:sz w:val="22"/>
                <w:szCs w:val="22"/>
              </w:rPr>
              <w:t xml:space="preserve">R02</w:t>
            </w:r>
          </w:p>
        </w:tc>
        <w:tc>
          <w:tcPr>
            <w:tcW w:type="pct" w:w="14%"/>
            <w:shd w:fill="FAF7F2" w:color="auto" w:val="clear"/>
            <w:tcMar>
              <w:top w:type="dxa" w:w="70"/>
              <w:left w:type="dxa" w:w="110"/>
              <w:bottom w:type="dxa" w:w="70"/>
              <w:right w:type="dxa" w:w="110"/>
            </w:tcMar>
          </w:tcPr>
          <w:p>
            <w:pPr>
              <w:spacing w:after="0" w:before="0"/>
              <w:jc w:val="left"/>
            </w:pPr>
            <w:r>
              <w:rPr>
                <w:sz w:val="22"/>
                <w:szCs w:val="22"/>
              </w:rPr>
              <w:t xml:space="preserve">Workshop</w:t>
            </w:r>
          </w:p>
        </w:tc>
        <w:tc>
          <w:tcPr>
            <w:tcW w:type="pct" w:w="14%"/>
            <w:shd w:fill="FAF7F2" w:color="auto" w:val="clear"/>
            <w:tcMar>
              <w:top w:type="dxa" w:w="70"/>
              <w:left w:type="dxa" w:w="110"/>
              <w:bottom w:type="dxa" w:w="70"/>
              <w:right w:type="dxa" w:w="110"/>
            </w:tcMar>
          </w:tcPr>
          <w:p>
            <w:pPr>
              <w:spacing w:after="0" w:before="0"/>
              <w:jc w:val="left"/>
            </w:pPr>
            <w:r>
              <w:rPr>
                <w:sz w:val="22"/>
                <w:szCs w:val="22"/>
              </w:rPr>
              <w:t xml:space="preserve">Wood dust cloud ignition — ATEX dust zone St1</w:t>
            </w:r>
          </w:p>
        </w:tc>
        <w:tc>
          <w:tcPr>
            <w:tcW w:type="pct" w:w="14%"/>
            <w:shd w:fill="FAF7F2" w:color="auto" w:val="clear"/>
            <w:tcMar>
              <w:top w:type="dxa" w:w="70"/>
              <w:left w:type="dxa" w:w="110"/>
              <w:bottom w:type="dxa" w:w="70"/>
              <w:right w:type="dxa" w:w="110"/>
            </w:tcMar>
          </w:tcPr>
          <w:p>
            <w:pPr>
              <w:spacing w:after="0" w:before="0"/>
              <w:jc w:val="left"/>
            </w:pPr>
            <w:r>
              <w:rPr>
                <w:sz w:val="22"/>
                <w:szCs w:val="22"/>
              </w:rPr>
              <w:t xml:space="preserve">A</w:t>
            </w:r>
          </w:p>
        </w:tc>
        <w:tc>
          <w:tcPr>
            <w:tcW w:type="pct" w:w="14%"/>
            <w:shd w:fill="FAF7F2" w:color="auto" w:val="clear"/>
            <w:tcMar>
              <w:top w:type="dxa" w:w="70"/>
              <w:left w:type="dxa" w:w="110"/>
              <w:bottom w:type="dxa" w:w="70"/>
              <w:right w:type="dxa" w:w="110"/>
            </w:tcMar>
          </w:tcPr>
          <w:p>
            <w:pPr>
              <w:spacing w:after="0" w:before="0"/>
              <w:jc w:val="left"/>
            </w:pPr>
            <w:r>
              <w:rPr>
                <w:sz w:val="22"/>
                <w:szCs w:val="22"/>
              </w:rPr>
              <w:t xml:space="preserve">High</w:t>
            </w:r>
          </w:p>
        </w:tc>
        <w:tc>
          <w:tcPr>
            <w:tcW w:type="pct" w:w="14%"/>
            <w:shd w:fill="FAF7F2" w:color="auto" w:val="clear"/>
            <w:tcMar>
              <w:top w:type="dxa" w:w="70"/>
              <w:left w:type="dxa" w:w="110"/>
              <w:bottom w:type="dxa" w:w="70"/>
              <w:right w:type="dxa" w:w="110"/>
            </w:tcMar>
          </w:tcPr>
          <w:p>
            <w:pPr>
              <w:spacing w:after="0" w:before="0"/>
              <w:jc w:val="left"/>
            </w:pPr>
            <w:r>
              <w:rPr>
                <w:sz w:val="22"/>
                <w:szCs w:val="22"/>
              </w:rPr>
              <w:t xml:space="preserve">Very High</w:t>
            </w:r>
          </w:p>
        </w:tc>
        <w:tc>
          <w:tcPr>
            <w:tcW w:type="pct" w:w="14%"/>
            <w:shd w:fill="FAF7F2" w:color="auto" w:val="clear"/>
            <w:tcMar>
              <w:top w:type="dxa" w:w="70"/>
              <w:left w:type="dxa" w:w="110"/>
              <w:bottom w:type="dxa" w:w="70"/>
              <w:right w:type="dxa" w:w="110"/>
            </w:tcMar>
          </w:tcPr>
          <w:p>
            <w:pPr>
              <w:spacing w:after="0" w:before="0"/>
              <w:jc w:val="left"/>
            </w:pPr>
            <w:r>
              <w:rPr>
                <w:sz w:val="22"/>
                <w:szCs w:val="22"/>
              </w:rPr>
              <w:t xml:space="preserve">🔴 CRITICAL</w:t>
            </w:r>
          </w:p>
        </w:tc>
      </w:tr>
      <w:tr>
        <w:tc>
          <w:tcPr>
            <w:tcW w:type="pct" w:w="14%"/>
            <w:tcMar>
              <w:top w:type="dxa" w:w="70"/>
              <w:left w:type="dxa" w:w="110"/>
              <w:bottom w:type="dxa" w:w="70"/>
              <w:right w:type="dxa" w:w="110"/>
            </w:tcMar>
          </w:tcPr>
          <w:p>
            <w:pPr>
              <w:spacing w:after="0" w:before="0"/>
              <w:jc w:val="left"/>
            </w:pPr>
            <w:r>
              <w:rPr>
                <w:sz w:val="22"/>
                <w:szCs w:val="22"/>
              </w:rPr>
              <w:t xml:space="preserve">R03</w:t>
            </w:r>
          </w:p>
        </w:tc>
        <w:tc>
          <w:tcPr>
            <w:tcW w:type="pct" w:w="14%"/>
            <w:tcMar>
              <w:top w:type="dxa" w:w="70"/>
              <w:left w:type="dxa" w:w="110"/>
              <w:bottom w:type="dxa" w:w="70"/>
              <w:right w:type="dxa" w:w="110"/>
            </w:tcMar>
          </w:tcPr>
          <w:p>
            <w:pPr>
              <w:spacing w:after="0" w:before="0"/>
              <w:jc w:val="left"/>
            </w:pPr>
            <w:r>
              <w:rPr>
                <w:sz w:val="22"/>
                <w:szCs w:val="22"/>
              </w:rPr>
              <w:t xml:space="preserve">Timber storage</w:t>
            </w:r>
          </w:p>
        </w:tc>
        <w:tc>
          <w:tcPr>
            <w:tcW w:type="pct" w:w="14%"/>
            <w:tcMar>
              <w:top w:type="dxa" w:w="70"/>
              <w:left w:type="dxa" w:w="110"/>
              <w:bottom w:type="dxa" w:w="70"/>
              <w:right w:type="dxa" w:w="110"/>
            </w:tcMar>
          </w:tcPr>
          <w:p>
            <w:pPr>
              <w:spacing w:after="0" w:before="0"/>
              <w:jc w:val="left"/>
            </w:pPr>
            <w:r>
              <w:rPr>
                <w:sz w:val="22"/>
                <w:szCs w:val="22"/>
              </w:rPr>
              <w:t xml:space="preserve">Dry timber stock fire</w:t>
            </w:r>
          </w:p>
        </w:tc>
        <w:tc>
          <w:tcPr>
            <w:tcW w:type="pct" w:w="14%"/>
            <w:tcMar>
              <w:top w:type="dxa" w:w="70"/>
              <w:left w:type="dxa" w:w="110"/>
              <w:bottom w:type="dxa" w:w="70"/>
              <w:right w:type="dxa" w:w="110"/>
            </w:tcMar>
          </w:tcPr>
          <w:p>
            <w:pPr>
              <w:spacing w:after="0" w:before="0"/>
              <w:jc w:val="left"/>
            </w:pPr>
            <w:r>
              <w:rPr>
                <w:sz w:val="22"/>
                <w:szCs w:val="22"/>
              </w:rPr>
              <w:t xml:space="preserve">A</w:t>
            </w:r>
          </w:p>
        </w:tc>
        <w:tc>
          <w:tcPr>
            <w:tcW w:type="pct" w:w="14%"/>
            <w:tcMar>
              <w:top w:type="dxa" w:w="70"/>
              <w:left w:type="dxa" w:w="110"/>
              <w:bottom w:type="dxa" w:w="70"/>
              <w:right w:type="dxa" w:w="110"/>
            </w:tcMar>
          </w:tcPr>
          <w:p>
            <w:pPr>
              <w:spacing w:after="0" w:before="0"/>
              <w:jc w:val="left"/>
            </w:pPr>
            <w:r>
              <w:rPr>
                <w:sz w:val="22"/>
                <w:szCs w:val="22"/>
              </w:rPr>
              <w:t xml:space="preserve">High</w:t>
            </w:r>
          </w:p>
        </w:tc>
        <w:tc>
          <w:tcPr>
            <w:tcW w:type="pct" w:w="14%"/>
            <w:tcMar>
              <w:top w:type="dxa" w:w="70"/>
              <w:left w:type="dxa" w:w="110"/>
              <w:bottom w:type="dxa" w:w="70"/>
              <w:right w:type="dxa" w:w="110"/>
            </w:tcMar>
          </w:tcPr>
          <w:p>
            <w:pPr>
              <w:spacing w:after="0" w:before="0"/>
              <w:jc w:val="left"/>
            </w:pPr>
            <w:r>
              <w:rPr>
                <w:sz w:val="22"/>
                <w:szCs w:val="22"/>
              </w:rPr>
              <w:t xml:space="preserve">Very High</w:t>
            </w:r>
          </w:p>
        </w:tc>
        <w:tc>
          <w:tcPr>
            <w:tcW w:type="pct" w:w="14%"/>
            <w:tcMar>
              <w:top w:type="dxa" w:w="70"/>
              <w:left w:type="dxa" w:w="110"/>
              <w:bottom w:type="dxa" w:w="70"/>
              <w:right w:type="dxa" w:w="110"/>
            </w:tcMar>
          </w:tcPr>
          <w:p>
            <w:pPr>
              <w:spacing w:after="0" w:before="0"/>
              <w:jc w:val="left"/>
            </w:pPr>
            <w:r>
              <w:rPr>
                <w:sz w:val="22"/>
                <w:szCs w:val="22"/>
              </w:rPr>
              <w:t xml:space="preserve">🔴 CRITICAL</w:t>
            </w:r>
          </w:p>
        </w:tc>
      </w:tr>
      <w:tr>
        <w:tc>
          <w:tcPr>
            <w:tcW w:type="pct" w:w="14%"/>
            <w:shd w:fill="FAF7F2" w:color="auto" w:val="clear"/>
            <w:tcMar>
              <w:top w:type="dxa" w:w="70"/>
              <w:left w:type="dxa" w:w="110"/>
              <w:bottom w:type="dxa" w:w="70"/>
              <w:right w:type="dxa" w:w="110"/>
            </w:tcMar>
          </w:tcPr>
          <w:p>
            <w:pPr>
              <w:spacing w:after="0" w:before="0"/>
              <w:jc w:val="left"/>
            </w:pPr>
            <w:r>
              <w:rPr>
                <w:sz w:val="22"/>
                <w:szCs w:val="22"/>
              </w:rPr>
              <w:t xml:space="preserve">R04</w:t>
            </w:r>
          </w:p>
        </w:tc>
        <w:tc>
          <w:tcPr>
            <w:tcW w:type="pct" w:w="14%"/>
            <w:shd w:fill="FAF7F2" w:color="auto" w:val="clear"/>
            <w:tcMar>
              <w:top w:type="dxa" w:w="70"/>
              <w:left w:type="dxa" w:w="110"/>
              <w:bottom w:type="dxa" w:w="70"/>
              <w:right w:type="dxa" w:w="110"/>
            </w:tcMar>
          </w:tcPr>
          <w:p>
            <w:pPr>
              <w:spacing w:after="0" w:before="0"/>
              <w:jc w:val="left"/>
            </w:pPr>
            <w:r>
              <w:rPr>
                <w:sz w:val="22"/>
                <w:szCs w:val="22"/>
              </w:rPr>
              <w:t xml:space="preserve">Varnishing area</w:t>
            </w:r>
          </w:p>
        </w:tc>
        <w:tc>
          <w:tcPr>
            <w:tcW w:type="pct" w:w="14%"/>
            <w:shd w:fill="FAF7F2" w:color="auto" w:val="clear"/>
            <w:tcMar>
              <w:top w:type="dxa" w:w="70"/>
              <w:left w:type="dxa" w:w="110"/>
              <w:bottom w:type="dxa" w:w="70"/>
              <w:right w:type="dxa" w:w="110"/>
            </w:tcMar>
          </w:tcPr>
          <w:p>
            <w:pPr>
              <w:spacing w:after="0" w:before="0"/>
              <w:jc w:val="left"/>
            </w:pPr>
            <w:r>
              <w:rPr>
                <w:sz w:val="22"/>
                <w:szCs w:val="22"/>
              </w:rPr>
              <w:t xml:space="preserve">Solvent / varnish spray ignition</w:t>
            </w:r>
          </w:p>
        </w:tc>
        <w:tc>
          <w:tcPr>
            <w:tcW w:type="pct" w:w="14%"/>
            <w:shd w:fill="FAF7F2" w:color="auto" w:val="clear"/>
            <w:tcMar>
              <w:top w:type="dxa" w:w="70"/>
              <w:left w:type="dxa" w:w="110"/>
              <w:bottom w:type="dxa" w:w="70"/>
              <w:right w:type="dxa" w:w="110"/>
            </w:tcMar>
          </w:tcPr>
          <w:p>
            <w:pPr>
              <w:spacing w:after="0" w:before="0"/>
              <w:jc w:val="left"/>
            </w:pPr>
            <w:r>
              <w:rPr>
                <w:sz w:val="22"/>
                <w:szCs w:val="22"/>
              </w:rPr>
              <w:t xml:space="preserve">B</w:t>
            </w:r>
          </w:p>
        </w:tc>
        <w:tc>
          <w:tcPr>
            <w:tcW w:type="pct" w:w="14%"/>
            <w:shd w:fill="FAF7F2" w:color="auto" w:val="clear"/>
            <w:tcMar>
              <w:top w:type="dxa" w:w="70"/>
              <w:left w:type="dxa" w:w="110"/>
              <w:bottom w:type="dxa" w:w="70"/>
              <w:right w:type="dxa" w:w="110"/>
            </w:tcMar>
          </w:tcPr>
          <w:p>
            <w:pPr>
              <w:spacing w:after="0" w:before="0"/>
              <w:jc w:val="left"/>
            </w:pPr>
            <w:r>
              <w:rPr>
                <w:sz w:val="22"/>
                <w:szCs w:val="22"/>
              </w:rPr>
              <w:t xml:space="preserve">Medium</w:t>
            </w:r>
          </w:p>
        </w:tc>
        <w:tc>
          <w:tcPr>
            <w:tcW w:type="pct" w:w="14%"/>
            <w:shd w:fill="FAF7F2" w:color="auto" w:val="clear"/>
            <w:tcMar>
              <w:top w:type="dxa" w:w="70"/>
              <w:left w:type="dxa" w:w="110"/>
              <w:bottom w:type="dxa" w:w="70"/>
              <w:right w:type="dxa" w:w="110"/>
            </w:tcMar>
          </w:tcPr>
          <w:p>
            <w:pPr>
              <w:spacing w:after="0" w:before="0"/>
              <w:jc w:val="left"/>
            </w:pPr>
            <w:r>
              <w:rPr>
                <w:sz w:val="22"/>
                <w:szCs w:val="22"/>
              </w:rPr>
              <w:t xml:space="preserve">High</w:t>
            </w:r>
          </w:p>
        </w:tc>
        <w:tc>
          <w:tcPr>
            <w:tcW w:type="pct" w:w="14%"/>
            <w:shd w:fill="FAF7F2" w:color="auto" w:val="clear"/>
            <w:tcMar>
              <w:top w:type="dxa" w:w="70"/>
              <w:left w:type="dxa" w:w="110"/>
              <w:bottom w:type="dxa" w:w="70"/>
              <w:right w:type="dxa" w:w="110"/>
            </w:tcMar>
          </w:tcPr>
          <w:p>
            <w:pPr>
              <w:spacing w:after="0" w:before="0"/>
              <w:jc w:val="left"/>
            </w:pPr>
            <w:r>
              <w:rPr>
                <w:sz w:val="22"/>
                <w:szCs w:val="22"/>
              </w:rPr>
              <w:t xml:space="preserve">🟠 HIGH</w:t>
            </w:r>
          </w:p>
        </w:tc>
      </w:tr>
      <w:tr>
        <w:tc>
          <w:tcPr>
            <w:tcW w:type="pct" w:w="14%"/>
            <w:tcMar>
              <w:top w:type="dxa" w:w="70"/>
              <w:left w:type="dxa" w:w="110"/>
              <w:bottom w:type="dxa" w:w="70"/>
              <w:right w:type="dxa" w:w="110"/>
            </w:tcMar>
          </w:tcPr>
          <w:p>
            <w:pPr>
              <w:spacing w:after="0" w:before="0"/>
              <w:jc w:val="left"/>
            </w:pPr>
            <w:r>
              <w:rPr>
                <w:sz w:val="22"/>
                <w:szCs w:val="22"/>
              </w:rPr>
              <w:t xml:space="preserve">R05</w:t>
            </w:r>
          </w:p>
        </w:tc>
        <w:tc>
          <w:tcPr>
            <w:tcW w:type="pct" w:w="14%"/>
            <w:tcMar>
              <w:top w:type="dxa" w:w="70"/>
              <w:left w:type="dxa" w:w="110"/>
              <w:bottom w:type="dxa" w:w="70"/>
              <w:right w:type="dxa" w:w="110"/>
            </w:tcMar>
          </w:tcPr>
          <w:p>
            <w:pPr>
              <w:spacing w:after="0" w:before="0"/>
              <w:jc w:val="left"/>
            </w:pPr>
            <w:r>
              <w:rPr>
                <w:sz w:val="22"/>
                <w:szCs w:val="22"/>
              </w:rPr>
              <w:t xml:space="preserve">HTA substation</w:t>
            </w:r>
          </w:p>
        </w:tc>
        <w:tc>
          <w:tcPr>
            <w:tcW w:type="pct" w:w="14%"/>
            <w:tcMar>
              <w:top w:type="dxa" w:w="70"/>
              <w:left w:type="dxa" w:w="110"/>
              <w:bottom w:type="dxa" w:w="70"/>
              <w:right w:type="dxa" w:w="110"/>
            </w:tcMar>
          </w:tcPr>
          <w:p>
            <w:pPr>
              <w:spacing w:after="0" w:before="0"/>
              <w:jc w:val="left"/>
            </w:pPr>
            <w:r>
              <w:rPr>
                <w:sz w:val="22"/>
                <w:szCs w:val="22"/>
              </w:rPr>
              <w:t xml:space="preserve">Insulation fault — electrical arc (MV 20 kV)</w:t>
            </w:r>
          </w:p>
        </w:tc>
        <w:tc>
          <w:tcPr>
            <w:tcW w:type="pct" w:w="14%"/>
            <w:tcMar>
              <w:top w:type="dxa" w:w="70"/>
              <w:left w:type="dxa" w:w="110"/>
              <w:bottom w:type="dxa" w:w="70"/>
              <w:right w:type="dxa" w:w="110"/>
            </w:tcMar>
          </w:tcPr>
          <w:p>
            <w:pPr>
              <w:spacing w:after="0" w:before="0"/>
              <w:jc w:val="left"/>
            </w:pPr>
            <w:r>
              <w:rPr>
                <w:sz w:val="22"/>
                <w:szCs w:val="22"/>
              </w:rPr>
              <w:t xml:space="preserve">E</w:t>
            </w:r>
          </w:p>
        </w:tc>
        <w:tc>
          <w:tcPr>
            <w:tcW w:type="pct" w:w="14%"/>
            <w:tcMar>
              <w:top w:type="dxa" w:w="70"/>
              <w:left w:type="dxa" w:w="110"/>
              <w:bottom w:type="dxa" w:w="70"/>
              <w:right w:type="dxa" w:w="110"/>
            </w:tcMar>
          </w:tcPr>
          <w:p>
            <w:pPr>
              <w:spacing w:after="0" w:before="0"/>
              <w:jc w:val="left"/>
            </w:pPr>
            <w:r>
              <w:rPr>
                <w:sz w:val="22"/>
                <w:szCs w:val="22"/>
              </w:rPr>
              <w:t xml:space="preserve">Low</w:t>
            </w:r>
          </w:p>
        </w:tc>
        <w:tc>
          <w:tcPr>
            <w:tcW w:type="pct" w:w="14%"/>
            <w:tcMar>
              <w:top w:type="dxa" w:w="70"/>
              <w:left w:type="dxa" w:w="110"/>
              <w:bottom w:type="dxa" w:w="70"/>
              <w:right w:type="dxa" w:w="110"/>
            </w:tcMar>
          </w:tcPr>
          <w:p>
            <w:pPr>
              <w:spacing w:after="0" w:before="0"/>
              <w:jc w:val="left"/>
            </w:pPr>
            <w:r>
              <w:rPr>
                <w:sz w:val="22"/>
                <w:szCs w:val="22"/>
              </w:rPr>
              <w:t xml:space="preserve">Very High</w:t>
            </w:r>
          </w:p>
        </w:tc>
        <w:tc>
          <w:tcPr>
            <w:tcW w:type="pct" w:w="14%"/>
            <w:tcMar>
              <w:top w:type="dxa" w:w="70"/>
              <w:left w:type="dxa" w:w="110"/>
              <w:bottom w:type="dxa" w:w="70"/>
              <w:right w:type="dxa" w:w="110"/>
            </w:tcMar>
          </w:tcPr>
          <w:p>
            <w:pPr>
              <w:spacing w:after="0" w:before="0"/>
              <w:jc w:val="left"/>
            </w:pPr>
            <w:r>
              <w:rPr>
                <w:sz w:val="22"/>
                <w:szCs w:val="22"/>
              </w:rPr>
              <w:t xml:space="preserve">🟠 HIGH</w:t>
            </w:r>
          </w:p>
        </w:tc>
      </w:tr>
      <w:tr>
        <w:tc>
          <w:tcPr>
            <w:tcW w:type="pct" w:w="14%"/>
            <w:shd w:fill="FAF7F2" w:color="auto" w:val="clear"/>
            <w:tcMar>
              <w:top w:type="dxa" w:w="70"/>
              <w:left w:type="dxa" w:w="110"/>
              <w:bottom w:type="dxa" w:w="70"/>
              <w:right w:type="dxa" w:w="110"/>
            </w:tcMar>
          </w:tcPr>
          <w:p>
            <w:pPr>
              <w:spacing w:after="0" w:before="0"/>
              <w:jc w:val="left"/>
            </w:pPr>
            <w:r>
              <w:rPr>
                <w:sz w:val="22"/>
                <w:szCs w:val="22"/>
              </w:rPr>
              <w:t xml:space="preserve">R06</w:t>
            </w:r>
          </w:p>
        </w:tc>
        <w:tc>
          <w:tcPr>
            <w:tcW w:type="pct" w:w="14%"/>
            <w:shd w:fill="FAF7F2" w:color="auto" w:val="clear"/>
            <w:tcMar>
              <w:top w:type="dxa" w:w="70"/>
              <w:left w:type="dxa" w:w="110"/>
              <w:bottom w:type="dxa" w:w="70"/>
              <w:right w:type="dxa" w:w="110"/>
            </w:tcMar>
          </w:tcPr>
          <w:p>
            <w:pPr>
              <w:spacing w:after="0" w:before="0"/>
              <w:jc w:val="left"/>
            </w:pPr>
            <w:r>
              <w:rPr>
                <w:sz w:val="22"/>
                <w:szCs w:val="22"/>
              </w:rPr>
              <w:t xml:space="preserve">MLVDB panel</w:t>
            </w:r>
          </w:p>
        </w:tc>
        <w:tc>
          <w:tcPr>
            <w:tcW w:type="pct" w:w="14%"/>
            <w:shd w:fill="FAF7F2" w:color="auto" w:val="clear"/>
            <w:tcMar>
              <w:top w:type="dxa" w:w="70"/>
              <w:left w:type="dxa" w:w="110"/>
              <w:bottom w:type="dxa" w:w="70"/>
              <w:right w:type="dxa" w:w="110"/>
            </w:tcMar>
          </w:tcPr>
          <w:p>
            <w:pPr>
              <w:spacing w:after="0" w:before="0"/>
              <w:jc w:val="left"/>
            </w:pPr>
            <w:r>
              <w:rPr>
                <w:sz w:val="22"/>
                <w:szCs w:val="22"/>
              </w:rPr>
              <w:t xml:space="preserve">Short-circuit / overload (LV distribution)</w:t>
            </w:r>
          </w:p>
        </w:tc>
        <w:tc>
          <w:tcPr>
            <w:tcW w:type="pct" w:w="14%"/>
            <w:shd w:fill="FAF7F2" w:color="auto" w:val="clear"/>
            <w:tcMar>
              <w:top w:type="dxa" w:w="70"/>
              <w:left w:type="dxa" w:w="110"/>
              <w:bottom w:type="dxa" w:w="70"/>
              <w:right w:type="dxa" w:w="110"/>
            </w:tcMar>
          </w:tcPr>
          <w:p>
            <w:pPr>
              <w:spacing w:after="0" w:before="0"/>
              <w:jc w:val="left"/>
            </w:pPr>
            <w:r>
              <w:rPr>
                <w:sz w:val="22"/>
                <w:szCs w:val="22"/>
              </w:rPr>
              <w:t xml:space="preserve">E</w:t>
            </w:r>
          </w:p>
        </w:tc>
        <w:tc>
          <w:tcPr>
            <w:tcW w:type="pct" w:w="14%"/>
            <w:shd w:fill="FAF7F2" w:color="auto" w:val="clear"/>
            <w:tcMar>
              <w:top w:type="dxa" w:w="70"/>
              <w:left w:type="dxa" w:w="110"/>
              <w:bottom w:type="dxa" w:w="70"/>
              <w:right w:type="dxa" w:w="110"/>
            </w:tcMar>
          </w:tcPr>
          <w:p>
            <w:pPr>
              <w:spacing w:after="0" w:before="0"/>
              <w:jc w:val="left"/>
            </w:pPr>
            <w:r>
              <w:rPr>
                <w:sz w:val="22"/>
                <w:szCs w:val="22"/>
              </w:rPr>
              <w:t xml:space="preserve">Low</w:t>
            </w:r>
          </w:p>
        </w:tc>
        <w:tc>
          <w:tcPr>
            <w:tcW w:type="pct" w:w="14%"/>
            <w:shd w:fill="FAF7F2" w:color="auto" w:val="clear"/>
            <w:tcMar>
              <w:top w:type="dxa" w:w="70"/>
              <w:left w:type="dxa" w:w="110"/>
              <w:bottom w:type="dxa" w:w="70"/>
              <w:right w:type="dxa" w:w="110"/>
            </w:tcMar>
          </w:tcPr>
          <w:p>
            <w:pPr>
              <w:spacing w:after="0" w:before="0"/>
              <w:jc w:val="left"/>
            </w:pPr>
            <w:r>
              <w:rPr>
                <w:sz w:val="22"/>
                <w:szCs w:val="22"/>
              </w:rPr>
              <w:t xml:space="preserve">High</w:t>
            </w:r>
          </w:p>
        </w:tc>
        <w:tc>
          <w:tcPr>
            <w:tcW w:type="pct" w:w="14%"/>
            <w:shd w:fill="FAF7F2" w:color="auto" w:val="clear"/>
            <w:tcMar>
              <w:top w:type="dxa" w:w="70"/>
              <w:left w:type="dxa" w:w="110"/>
              <w:bottom w:type="dxa" w:w="70"/>
              <w:right w:type="dxa" w:w="110"/>
            </w:tcMar>
          </w:tcPr>
          <w:p>
            <w:pPr>
              <w:spacing w:after="0" w:before="0"/>
              <w:jc w:val="left"/>
            </w:pPr>
            <w:r>
              <w:rPr>
                <w:sz w:val="22"/>
                <w:szCs w:val="22"/>
              </w:rPr>
              <w:t xml:space="preserve">🟡 MODERATE</w:t>
            </w:r>
          </w:p>
        </w:tc>
      </w:tr>
      <w:tr>
        <w:tc>
          <w:tcPr>
            <w:tcW w:type="pct" w:w="14%"/>
            <w:tcMar>
              <w:top w:type="dxa" w:w="70"/>
              <w:left w:type="dxa" w:w="110"/>
              <w:bottom w:type="dxa" w:w="70"/>
              <w:right w:type="dxa" w:w="110"/>
            </w:tcMar>
          </w:tcPr>
          <w:p>
            <w:pPr>
              <w:spacing w:after="0" w:before="0"/>
              <w:jc w:val="left"/>
            </w:pPr>
            <w:r>
              <w:rPr>
                <w:sz w:val="22"/>
                <w:szCs w:val="22"/>
              </w:rPr>
              <w:t xml:space="preserve">R07</w:t>
            </w:r>
          </w:p>
        </w:tc>
        <w:tc>
          <w:tcPr>
            <w:tcW w:type="pct" w:w="14%"/>
            <w:tcMar>
              <w:top w:type="dxa" w:w="70"/>
              <w:left w:type="dxa" w:w="110"/>
              <w:bottom w:type="dxa" w:w="70"/>
              <w:right w:type="dxa" w:w="110"/>
            </w:tcMar>
          </w:tcPr>
          <w:p>
            <w:pPr>
              <w:spacing w:after="0" w:before="0"/>
              <w:jc w:val="left"/>
            </w:pPr>
            <w:r>
              <w:rPr>
                <w:sz w:val="22"/>
                <w:szCs w:val="22"/>
              </w:rPr>
              <w:t xml:space="preserve">Showroom</w:t>
            </w:r>
          </w:p>
        </w:tc>
        <w:tc>
          <w:tcPr>
            <w:tcW w:type="pct" w:w="14%"/>
            <w:tcMar>
              <w:top w:type="dxa" w:w="70"/>
              <w:left w:type="dxa" w:w="110"/>
              <w:bottom w:type="dxa" w:w="70"/>
              <w:right w:type="dxa" w:w="110"/>
            </w:tcMar>
          </w:tcPr>
          <w:p>
            <w:pPr>
              <w:spacing w:after="0" w:before="0"/>
              <w:jc w:val="left"/>
            </w:pPr>
            <w:r>
              <w:rPr>
                <w:sz w:val="22"/>
                <w:szCs w:val="22"/>
              </w:rPr>
              <w:t xml:space="preserve">Accidental fire on displayed door items</w:t>
            </w:r>
          </w:p>
        </w:tc>
        <w:tc>
          <w:tcPr>
            <w:tcW w:type="pct" w:w="14%"/>
            <w:tcMar>
              <w:top w:type="dxa" w:w="70"/>
              <w:left w:type="dxa" w:w="110"/>
              <w:bottom w:type="dxa" w:w="70"/>
              <w:right w:type="dxa" w:w="110"/>
            </w:tcMar>
          </w:tcPr>
          <w:p>
            <w:pPr>
              <w:spacing w:after="0" w:before="0"/>
              <w:jc w:val="left"/>
            </w:pPr>
            <w:r>
              <w:rPr>
                <w:sz w:val="22"/>
                <w:szCs w:val="22"/>
              </w:rPr>
              <w:t xml:space="preserve">A</w:t>
            </w:r>
          </w:p>
        </w:tc>
        <w:tc>
          <w:tcPr>
            <w:tcW w:type="pct" w:w="14%"/>
            <w:tcMar>
              <w:top w:type="dxa" w:w="70"/>
              <w:left w:type="dxa" w:w="110"/>
              <w:bottom w:type="dxa" w:w="70"/>
              <w:right w:type="dxa" w:w="110"/>
            </w:tcMar>
          </w:tcPr>
          <w:p>
            <w:pPr>
              <w:spacing w:after="0" w:before="0"/>
              <w:jc w:val="left"/>
            </w:pPr>
            <w:r>
              <w:rPr>
                <w:sz w:val="22"/>
                <w:szCs w:val="22"/>
              </w:rPr>
              <w:t xml:space="preserve">Low</w:t>
            </w:r>
          </w:p>
        </w:tc>
        <w:tc>
          <w:tcPr>
            <w:tcW w:type="pct" w:w="14%"/>
            <w:tcMar>
              <w:top w:type="dxa" w:w="70"/>
              <w:left w:type="dxa" w:w="110"/>
              <w:bottom w:type="dxa" w:w="70"/>
              <w:right w:type="dxa" w:w="110"/>
            </w:tcMar>
          </w:tcPr>
          <w:p>
            <w:pPr>
              <w:spacing w:after="0" w:before="0"/>
              <w:jc w:val="left"/>
            </w:pPr>
            <w:r>
              <w:rPr>
                <w:sz w:val="22"/>
                <w:szCs w:val="22"/>
              </w:rPr>
              <w:t xml:space="preserve">Medium</w:t>
            </w:r>
          </w:p>
        </w:tc>
        <w:tc>
          <w:tcPr>
            <w:tcW w:type="pct" w:w="14%"/>
            <w:tcMar>
              <w:top w:type="dxa" w:w="70"/>
              <w:left w:type="dxa" w:w="110"/>
              <w:bottom w:type="dxa" w:w="70"/>
              <w:right w:type="dxa" w:w="110"/>
            </w:tcMar>
          </w:tcPr>
          <w:p>
            <w:pPr>
              <w:spacing w:after="0" w:before="0"/>
              <w:jc w:val="left"/>
            </w:pPr>
            <w:r>
              <w:rPr>
                <w:sz w:val="22"/>
                <w:szCs w:val="22"/>
              </w:rPr>
              <w:t xml:space="preserve">🟡 MODERATE</w:t>
            </w:r>
          </w:p>
        </w:tc>
      </w:tr>
      <w:tr>
        <w:tc>
          <w:tcPr>
            <w:tcW w:type="pct" w:w="14%"/>
            <w:shd w:fill="FAF7F2" w:color="auto" w:val="clear"/>
            <w:tcMar>
              <w:top w:type="dxa" w:w="70"/>
              <w:left w:type="dxa" w:w="110"/>
              <w:bottom w:type="dxa" w:w="70"/>
              <w:right w:type="dxa" w:w="110"/>
            </w:tcMar>
          </w:tcPr>
          <w:p>
            <w:pPr>
              <w:spacing w:after="0" w:before="0"/>
              <w:jc w:val="left"/>
            </w:pPr>
            <w:r>
              <w:rPr>
                <w:sz w:val="22"/>
                <w:szCs w:val="22"/>
              </w:rPr>
              <w:t xml:space="preserve">R08</w:t>
            </w:r>
          </w:p>
        </w:tc>
        <w:tc>
          <w:tcPr>
            <w:tcW w:type="pct" w:w="14%"/>
            <w:shd w:fill="FAF7F2" w:color="auto" w:val="clear"/>
            <w:tcMar>
              <w:top w:type="dxa" w:w="70"/>
              <w:left w:type="dxa" w:w="110"/>
              <w:bottom w:type="dxa" w:w="70"/>
              <w:right w:type="dxa" w:w="110"/>
            </w:tcMar>
          </w:tcPr>
          <w:p>
            <w:pPr>
              <w:spacing w:after="0" w:before="0"/>
              <w:jc w:val="left"/>
            </w:pPr>
            <w:r>
              <w:rPr>
                <w:sz w:val="22"/>
                <w:szCs w:val="22"/>
              </w:rPr>
              <w:t xml:space="preserve">Offices</w:t>
            </w:r>
          </w:p>
        </w:tc>
        <w:tc>
          <w:tcPr>
            <w:tcW w:type="pct" w:w="14%"/>
            <w:shd w:fill="FAF7F2" w:color="auto" w:val="clear"/>
            <w:tcMar>
              <w:top w:type="dxa" w:w="70"/>
              <w:left w:type="dxa" w:w="110"/>
              <w:bottom w:type="dxa" w:w="70"/>
              <w:right w:type="dxa" w:w="110"/>
            </w:tcMar>
          </w:tcPr>
          <w:p>
            <w:pPr>
              <w:spacing w:after="0" w:before="0"/>
              <w:jc w:val="left"/>
            </w:pPr>
            <w:r>
              <w:rPr>
                <w:sz w:val="22"/>
                <w:szCs w:val="22"/>
              </w:rPr>
              <w:t xml:space="preserve">IT equipment fire</w:t>
            </w:r>
          </w:p>
        </w:tc>
        <w:tc>
          <w:tcPr>
            <w:tcW w:type="pct" w:w="14%"/>
            <w:shd w:fill="FAF7F2" w:color="auto" w:val="clear"/>
            <w:tcMar>
              <w:top w:type="dxa" w:w="70"/>
              <w:left w:type="dxa" w:w="110"/>
              <w:bottom w:type="dxa" w:w="70"/>
              <w:right w:type="dxa" w:w="110"/>
            </w:tcMar>
          </w:tcPr>
          <w:p>
            <w:pPr>
              <w:spacing w:after="0" w:before="0"/>
              <w:jc w:val="left"/>
            </w:pPr>
            <w:r>
              <w:rPr>
                <w:sz w:val="22"/>
                <w:szCs w:val="22"/>
              </w:rPr>
              <w:t xml:space="preserve">E/A</w:t>
            </w:r>
          </w:p>
        </w:tc>
        <w:tc>
          <w:tcPr>
            <w:tcW w:type="pct" w:w="14%"/>
            <w:shd w:fill="FAF7F2" w:color="auto" w:val="clear"/>
            <w:tcMar>
              <w:top w:type="dxa" w:w="70"/>
              <w:left w:type="dxa" w:w="110"/>
              <w:bottom w:type="dxa" w:w="70"/>
              <w:right w:type="dxa" w:w="110"/>
            </w:tcMar>
          </w:tcPr>
          <w:p>
            <w:pPr>
              <w:spacing w:after="0" w:before="0"/>
              <w:jc w:val="left"/>
            </w:pPr>
            <w:r>
              <w:rPr>
                <w:sz w:val="22"/>
                <w:szCs w:val="22"/>
              </w:rPr>
              <w:t xml:space="preserve">Very Low</w:t>
            </w:r>
          </w:p>
        </w:tc>
        <w:tc>
          <w:tcPr>
            <w:tcW w:type="pct" w:w="14%"/>
            <w:shd w:fill="FAF7F2" w:color="auto" w:val="clear"/>
            <w:tcMar>
              <w:top w:type="dxa" w:w="70"/>
              <w:left w:type="dxa" w:w="110"/>
              <w:bottom w:type="dxa" w:w="70"/>
              <w:right w:type="dxa" w:w="110"/>
            </w:tcMar>
          </w:tcPr>
          <w:p>
            <w:pPr>
              <w:spacing w:after="0" w:before="0"/>
              <w:jc w:val="left"/>
            </w:pPr>
            <w:r>
              <w:rPr>
                <w:sz w:val="22"/>
                <w:szCs w:val="22"/>
              </w:rPr>
              <w:t xml:space="preserve">Low</w:t>
            </w:r>
          </w:p>
        </w:tc>
        <w:tc>
          <w:tcPr>
            <w:tcW w:type="pct" w:w="14%"/>
            <w:shd w:fill="FAF7F2" w:color="auto" w:val="clear"/>
            <w:tcMar>
              <w:top w:type="dxa" w:w="70"/>
              <w:left w:type="dxa" w:w="110"/>
              <w:bottom w:type="dxa" w:w="70"/>
              <w:right w:type="dxa" w:w="110"/>
            </w:tcMar>
          </w:tcPr>
          <w:p>
            <w:pPr>
              <w:spacing w:after="0" w:before="0"/>
              <w:jc w:val="left"/>
            </w:pPr>
            <w:r>
              <w:rPr>
                <w:sz w:val="22"/>
                <w:szCs w:val="22"/>
              </w:rPr>
              <w:t xml:space="preserve">🟢 LOW</w:t>
            </w:r>
          </w:p>
        </w:tc>
      </w:tr>
      <w:tr>
        <w:tc>
          <w:tcPr>
            <w:tcW w:type="pct" w:w="14%"/>
            <w:tcMar>
              <w:top w:type="dxa" w:w="70"/>
              <w:left w:type="dxa" w:w="110"/>
              <w:bottom w:type="dxa" w:w="70"/>
              <w:right w:type="dxa" w:w="110"/>
            </w:tcMar>
          </w:tcPr>
          <w:p>
            <w:pPr>
              <w:spacing w:after="0" w:before="0"/>
              <w:jc w:val="left"/>
            </w:pPr>
            <w:r>
              <w:rPr>
                <w:sz w:val="22"/>
                <w:szCs w:val="22"/>
              </w:rPr>
              <w:t xml:space="preserve">R09</w:t>
            </w:r>
          </w:p>
        </w:tc>
        <w:tc>
          <w:tcPr>
            <w:tcW w:type="pct" w:w="14%"/>
            <w:tcMar>
              <w:top w:type="dxa" w:w="70"/>
              <w:left w:type="dxa" w:w="110"/>
              <w:bottom w:type="dxa" w:w="70"/>
              <w:right w:type="dxa" w:w="110"/>
            </w:tcMar>
          </w:tcPr>
          <w:p>
            <w:pPr>
              <w:spacing w:after="0" w:before="0"/>
              <w:jc w:val="left"/>
            </w:pPr>
            <w:r>
              <w:rPr>
                <w:sz w:val="22"/>
                <w:szCs w:val="22"/>
              </w:rPr>
              <w:t xml:space="preserve">Site perimeter</w:t>
            </w:r>
          </w:p>
        </w:tc>
        <w:tc>
          <w:tcPr>
            <w:tcW w:type="pct" w:w="14%"/>
            <w:tcMar>
              <w:top w:type="dxa" w:w="70"/>
              <w:left w:type="dxa" w:w="110"/>
              <w:bottom w:type="dxa" w:w="70"/>
              <w:right w:type="dxa" w:w="110"/>
            </w:tcMar>
          </w:tcPr>
          <w:p>
            <w:pPr>
              <w:spacing w:after="0" w:before="0"/>
              <w:jc w:val="left"/>
            </w:pPr>
            <w:r>
              <w:rPr>
                <w:sz w:val="22"/>
                <w:szCs w:val="22"/>
              </w:rPr>
              <w:t xml:space="preserve">Arson — deliberate ignition</w:t>
            </w:r>
          </w:p>
        </w:tc>
        <w:tc>
          <w:tcPr>
            <w:tcW w:type="pct" w:w="14%"/>
            <w:tcMar>
              <w:top w:type="dxa" w:w="70"/>
              <w:left w:type="dxa" w:w="110"/>
              <w:bottom w:type="dxa" w:w="70"/>
              <w:right w:type="dxa" w:w="110"/>
            </w:tcMar>
          </w:tcPr>
          <w:p>
            <w:pPr>
              <w:spacing w:after="0" w:before="0"/>
              <w:jc w:val="left"/>
            </w:pPr>
            <w:r>
              <w:rPr>
                <w:sz w:val="22"/>
                <w:szCs w:val="22"/>
              </w:rPr>
              <w:t xml:space="preserve">A</w:t>
            </w:r>
          </w:p>
        </w:tc>
        <w:tc>
          <w:tcPr>
            <w:tcW w:type="pct" w:w="14%"/>
            <w:tcMar>
              <w:top w:type="dxa" w:w="70"/>
              <w:left w:type="dxa" w:w="110"/>
              <w:bottom w:type="dxa" w:w="70"/>
              <w:right w:type="dxa" w:w="110"/>
            </w:tcMar>
          </w:tcPr>
          <w:p>
            <w:pPr>
              <w:spacing w:after="0" w:before="0"/>
              <w:jc w:val="left"/>
            </w:pPr>
            <w:r>
              <w:rPr>
                <w:sz w:val="22"/>
                <w:szCs w:val="22"/>
              </w:rPr>
              <w:t xml:space="preserve">Low</w:t>
            </w:r>
          </w:p>
        </w:tc>
        <w:tc>
          <w:tcPr>
            <w:tcW w:type="pct" w:w="14%"/>
            <w:tcMar>
              <w:top w:type="dxa" w:w="70"/>
              <w:left w:type="dxa" w:w="110"/>
              <w:bottom w:type="dxa" w:w="70"/>
              <w:right w:type="dxa" w:w="110"/>
            </w:tcMar>
          </w:tcPr>
          <w:p>
            <w:pPr>
              <w:spacing w:after="0" w:before="0"/>
              <w:jc w:val="left"/>
            </w:pPr>
            <w:r>
              <w:rPr>
                <w:sz w:val="22"/>
                <w:szCs w:val="22"/>
              </w:rPr>
              <w:t xml:space="preserve">Very High</w:t>
            </w:r>
          </w:p>
        </w:tc>
        <w:tc>
          <w:tcPr>
            <w:tcW w:type="pct" w:w="14%"/>
            <w:tcMar>
              <w:top w:type="dxa" w:w="70"/>
              <w:left w:type="dxa" w:w="110"/>
              <w:bottom w:type="dxa" w:w="70"/>
              <w:right w:type="dxa" w:w="110"/>
            </w:tcMar>
          </w:tcPr>
          <w:p>
            <w:pPr>
              <w:spacing w:after="0" w:before="0"/>
              <w:jc w:val="left"/>
            </w:pPr>
            <w:r>
              <w:rPr>
                <w:sz w:val="22"/>
                <w:szCs w:val="22"/>
              </w:rPr>
              <w:t xml:space="preserve">🟠 HIGH</w:t>
            </w:r>
          </w:p>
        </w:tc>
      </w:tr>
    </w:tbl>
    <w:p/>
    <w:p/>
    <w:p>
      <w:pPr>
        <w:spacing w:after="120" w:line="320"/>
        <w:jc w:val="both"/>
      </w:pPr>
      <w:r>
        <w:rPr>
          <w:b/>
          <w:bCs/>
        </w:rPr>
        <w:t xml:space="preserve">Priority treatment before commissioning:</w:t>
      </w:r>
    </w:p>
    <w:p>
      <w:pPr>
        <w:pStyle w:val="ListParagraph"/>
        <w:numPr>
          <w:ilvl w:val="0"/>
          <w:numId w:val="1"/>
        </w:numPr>
        <w:spacing w:line="300"/>
      </w:pPr>
      <w:r>
        <w:rPr>
          <w:b/>
          <w:bCs/>
        </w:rPr>
        <w:t xml:space="preserve">R01, R02, R03 (CRITICAL):</w:t>
      </w:r>
      <w:r>
        <w:t xml:space="preserve"> Centralised industrial dust extraction + workshop sprinkler system or increased extinguisher density.</w:t>
      </w:r>
    </w:p>
    <w:p>
      <w:pPr>
        <w:pStyle w:val="ListParagraph"/>
        <w:numPr>
          <w:ilvl w:val="0"/>
          <w:numId w:val="1"/>
        </w:numPr>
        <w:spacing w:line="300"/>
      </w:pPr>
      <w:r>
        <w:rPr>
          <w:b/>
          <w:bCs/>
        </w:rPr>
        <w:t xml:space="preserve">R04 (HIGH):</w:t>
      </w:r>
      <w:r>
        <w:t xml:space="preserve"> Closed spray booth REI 60 with dedicated ventilation — strict hot work permit regime.</w:t>
      </w:r>
    </w:p>
    <w:p>
      <w:pPr>
        <w:pStyle w:val="ListParagraph"/>
        <w:numPr>
          <w:ilvl w:val="0"/>
          <w:numId w:val="1"/>
        </w:numPr>
        <w:spacing w:line="300"/>
      </w:pPr>
      <w:r>
        <w:rPr>
          <w:b/>
          <w:bCs/>
        </w:rPr>
        <w:t xml:space="preserve">R05, R09 (HIGH):</w:t>
      </w:r>
      <w:r>
        <w:t xml:space="preserve"> Perimeter fencing + access control + fire brigade access route maintained clear at all times.</w:t>
      </w:r>
    </w:p>
    <w:p/>
    <w:p>
      <w:pPr>
        <w:pBdr>
          <w:bottom w:val="single" w:color="E5E1D8" w:sz="6" w:space="1"/>
        </w:pBdr>
        <w:spacing w:after="120" w:before="120"/>
      </w:pPr>
      <w:r>
        <w:t xml:space="preserve"/>
      </w:r>
    </w:p>
    <w:p/>
    <w:p>
      <w:pPr>
        <w:pStyle w:val="Heading3"/>
      </w:pPr>
      <w:bookmarkStart w:name="nexia_h_57" w:id="1"/>
      <w:r>
        <w:rPr>
          <w:b/>
          <w:bCs/>
        </w:rPr>
        <w:t xml:space="preserve">1.3.3.  </w:t>
      </w:r>
      <w:r>
        <w:t xml:space="preserve">DIAGRAM 1 — RISK CRITICALITY MATRIX — ALL ZONES</w:t>
      </w:r>
      <w:bookmarkEnd w:id="1"/>
    </w:p>
    <w:p/>
    <w:p>
      <w:pPr>
        <w:spacing w:after="120" w:line="320"/>
        <w:jc w:val="both"/>
      </w:pPr>
      <w:r>
        <w:t xml:space="preserve">The matrix below maps the 9 identified risks by probability and potential severity. Red quadrants require immediate treatment before commissioning.</w:t>
      </w:r>
    </w:p>
    <w:p/>
    <w:p>
      <w:pPr>
        <w:spacing w:after="80" w:before="120"/>
        <w:jc w:val="center"/>
      </w:pPr>
      <w:r>
        <w:drawing>
          <wp:inline distT="0" distB="0" distL="0" distR="0">
            <wp:extent cx="4572000" cy="3048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4572000" cy="3048000"/>
                    </a:xfrm>
                    <a:prstGeom prst="rect">
                      <a:avLst/>
                    </a:prstGeom>
                  </pic:spPr>
                </pic:pic>
              </a:graphicData>
            </a:graphic>
          </wp:inline>
        </w:drawing>
      </w:r>
    </w:p>
    <w:p>
      <w:pPr>
        <w:spacing w:after="200"/>
        <w:jc w:val="center"/>
      </w:pPr>
      <w:r>
        <w:rPr>
          <w:i/>
          <w:iCs/>
          <w:color w:val="555555"/>
          <w:sz w:val="20"/>
          <w:szCs w:val="20"/>
        </w:rPr>
        <w:t xml:space="preserve">Risk Criticality Matrix — Premium Door Workshop — Ngoundiane</w:t>
      </w:r>
    </w:p>
    <w:p/>
    <w:p>
      <w:pPr>
        <w:pBdr>
          <w:bottom w:val="single" w:color="E5E1D8" w:sz="6" w:space="1"/>
        </w:pBdr>
        <w:spacing w:after="120" w:before="120"/>
      </w:pPr>
      <w:r>
        <w:t xml:space="preserve"/>
      </w:r>
    </w:p>
    <w:p/>
    <w:p>
      <w:pPr>
        <w:pStyle w:val="Heading2"/>
      </w:pPr>
      <w:bookmarkStart w:name="nexia_h_65" w:id="1"/>
      <w:r>
        <w:rPr>
          <w:b/>
          <w:bCs/>
        </w:rPr>
        <w:t xml:space="preserve">1.4.  </w:t>
      </w:r>
      <w:r>
        <w:t xml:space="preserve">Fire Prevention Measures</w:t>
      </w:r>
      <w:bookmarkEnd w:id="1"/>
    </w:p>
    <w:p/>
    <w:p>
      <w:pPr>
        <w:pStyle w:val="Heading3"/>
      </w:pPr>
      <w:bookmarkStart w:name="nexia_h_67" w:id="1"/>
      <w:r>
        <w:rPr>
          <w:b/>
          <w:bCs/>
        </w:rPr>
        <w:t xml:space="preserve">1.4.1.  </w:t>
      </w:r>
      <w:r>
        <w:t xml:space="preserve">Fire Resistance of Structural Elements</w:t>
      </w:r>
      <w:bookmarkEnd w:id="1"/>
    </w:p>
    <w:p/>
    <w:p>
      <w:pPr>
        <w:spacing w:after="120" w:line="320"/>
        <w:jc w:val="both"/>
      </w:pPr>
      <w:r>
        <w:t xml:space="preserve">The European fire resistance classification uses the notation </w:t>
      </w:r>
      <w:r>
        <w:rPr>
          <w:b/>
          <w:bCs/>
        </w:rPr>
        <w:t xml:space="preserve">REI</w:t>
      </w:r>
      <w:r>
        <w:t xml:space="preserve"> where: </w:t>
      </w:r>
      <w:r>
        <w:rPr>
          <w:b/>
          <w:bCs/>
        </w:rPr>
        <w:t xml:space="preserve">R</w:t>
      </w:r>
      <w:r>
        <w:t xml:space="preserve"> = load-bearing capacity, </w:t>
      </w:r>
      <w:r>
        <w:rPr>
          <w:b/>
          <w:bCs/>
        </w:rPr>
        <w:t xml:space="preserve">E</w:t>
      </w:r>
      <w:r>
        <w:t xml:space="preserve"> = integrity (no flame passage), </w:t>
      </w:r>
      <w:r>
        <w:rPr>
          <w:b/>
          <w:bCs/>
        </w:rPr>
        <w:t xml:space="preserve">I</w:t>
      </w:r>
      <w:r>
        <w:t xml:space="preserve"> = thermal insulation. The figure indicates the resistance duration in minutes.</w:t>
      </w:r>
    </w:p>
    <w:p/>
    <w:tbl>
      <w:tblPr>
        <w:tblW w:type="pct" w:w="100%"/>
        <w:tblBorders>
          <w:top w:val="single" w:color="BFBFBF" w:sz="6"/>
          <w:left w:val="single" w:color="BFBFBF" w:sz="6"/>
          <w:bottom w:val="single" w:color="BFBFBF" w:sz="6"/>
          <w:right w:val="single" w:color="BFBFBF" w:sz="6"/>
          <w:insideH w:val="single" w:color="BFBFBF" w:sz="6"/>
          <w:insideV w:val="single" w:color="BFBFBF" w:sz="6"/>
        </w:tblBorders>
      </w:tblPr>
      <w:tblGrid>
        <w:gridCol w:w="100"/>
        <w:gridCol w:w="100"/>
        <w:gridCol w:w="100"/>
      </w:tblGrid>
      <w:tr>
        <w:trPr>
          <w:tblHeader/>
        </w:trPr>
        <w:tc>
          <w:tcPr>
            <w:tcW w:type="pct" w:w="33%"/>
            <w:shd w:fill="1A1F2E" w:color="auto" w:val="clear"/>
            <w:tcMar>
              <w:top w:type="dxa" w:w="100"/>
              <w:left w:type="dxa" w:w="110"/>
              <w:bottom w:type="dxa" w:w="100"/>
              <w:right w:type="dxa" w:w="110"/>
            </w:tcMar>
          </w:tcPr>
          <w:p>
            <w:pPr>
              <w:spacing w:after="0" w:before="0"/>
              <w:jc w:val="left"/>
            </w:pPr>
            <w:r>
              <w:rPr>
                <w:b/>
                <w:bCs/>
                <w:color w:val="FFFFFF"/>
                <w:sz w:val="22"/>
                <w:szCs w:val="22"/>
              </w:rPr>
              <w:t xml:space="preserve">Structural element</w:t>
            </w:r>
          </w:p>
        </w:tc>
        <w:tc>
          <w:tcPr>
            <w:tcW w:type="pct" w:w="33%"/>
            <w:shd w:fill="1A1F2E" w:color="auto" w:val="clear"/>
            <w:tcMar>
              <w:top w:type="dxa" w:w="100"/>
              <w:left w:type="dxa" w:w="110"/>
              <w:bottom w:type="dxa" w:w="100"/>
              <w:right w:type="dxa" w:w="110"/>
            </w:tcMar>
          </w:tcPr>
          <w:p>
            <w:pPr>
              <w:spacing w:after="0" w:before="0"/>
              <w:jc w:val="left"/>
            </w:pPr>
            <w:r>
              <w:rPr>
                <w:b/>
                <w:bCs/>
                <w:color w:val="FFFFFF"/>
                <w:sz w:val="22"/>
                <w:szCs w:val="22"/>
              </w:rPr>
              <w:t xml:space="preserve">Requirement</w:t>
            </w:r>
          </w:p>
        </w:tc>
        <w:tc>
          <w:tcPr>
            <w:tcW w:type="pct" w:w="33%"/>
            <w:shd w:fill="1A1F2E" w:color="auto" w:val="clear"/>
            <w:tcMar>
              <w:top w:type="dxa" w:w="100"/>
              <w:left w:type="dxa" w:w="110"/>
              <w:bottom w:type="dxa" w:w="100"/>
              <w:right w:type="dxa" w:w="110"/>
            </w:tcMar>
          </w:tcPr>
          <w:p>
            <w:pPr>
              <w:spacing w:after="0" w:before="0"/>
              <w:jc w:val="left"/>
            </w:pPr>
            <w:r>
              <w:rPr>
                <w:b/>
                <w:bCs/>
                <w:color w:val="FFFFFF"/>
                <w:sz w:val="22"/>
                <w:szCs w:val="22"/>
              </w:rPr>
              <w:t xml:space="preserve">Justification</w:t>
            </w:r>
          </w:p>
        </w:tc>
      </w:tr>
      <w:tr>
        <w:tc>
          <w:tcPr>
            <w:tcW w:type="pct" w:w="33%"/>
            <w:tcMar>
              <w:top w:type="dxa" w:w="70"/>
              <w:left w:type="dxa" w:w="110"/>
              <w:bottom w:type="dxa" w:w="70"/>
              <w:right w:type="dxa" w:w="110"/>
            </w:tcMar>
          </w:tcPr>
          <w:p>
            <w:pPr>
              <w:spacing w:after="0" w:before="0"/>
              <w:jc w:val="left"/>
            </w:pPr>
            <w:r>
              <w:rPr>
                <w:sz w:val="22"/>
                <w:szCs w:val="22"/>
              </w:rPr>
              <w:t xml:space="preserve">Workshop façade walls</w:t>
            </w:r>
          </w:p>
        </w:tc>
        <w:tc>
          <w:tcPr>
            <w:tcW w:type="pct" w:w="33%"/>
            <w:tcMar>
              <w:top w:type="dxa" w:w="70"/>
              <w:left w:type="dxa" w:w="110"/>
              <w:bottom w:type="dxa" w:w="70"/>
              <w:right w:type="dxa" w:w="110"/>
            </w:tcMar>
          </w:tcPr>
          <w:p>
            <w:pPr>
              <w:spacing w:after="0" w:before="0"/>
              <w:jc w:val="left"/>
            </w:pPr>
            <w:r>
              <w:rPr>
                <w:sz w:val="22"/>
                <w:szCs w:val="22"/>
              </w:rPr>
              <w:t xml:space="preserve">REI 60 minimum</w:t>
            </w:r>
          </w:p>
        </w:tc>
        <w:tc>
          <w:tcPr>
            <w:tcW w:type="pct" w:w="33%"/>
            <w:tcMar>
              <w:top w:type="dxa" w:w="70"/>
              <w:left w:type="dxa" w:w="110"/>
              <w:bottom w:type="dxa" w:w="70"/>
              <w:right w:type="dxa" w:w="110"/>
            </w:tcMar>
          </w:tcPr>
          <w:p>
            <w:pPr>
              <w:spacing w:after="0" w:before="0"/>
              <w:jc w:val="left"/>
            </w:pPr>
            <w:r>
              <w:rPr>
                <w:sz w:val="22"/>
                <w:szCs w:val="22"/>
              </w:rPr>
              <w:t xml:space="preserve">High calorific load, ATEX zone</w:t>
            </w:r>
          </w:p>
        </w:tc>
      </w:tr>
      <w:tr>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Separating wall — workshop / showroom</w:t>
            </w:r>
          </w:p>
        </w:tc>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REI 120</w:t>
            </w:r>
          </w:p>
        </w:tc>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Zone separation between distinct fire compartments</w:t>
            </w:r>
          </w:p>
        </w:tc>
      </w:tr>
      <w:tr>
        <w:tc>
          <w:tcPr>
            <w:tcW w:type="pct" w:w="33%"/>
            <w:tcMar>
              <w:top w:type="dxa" w:w="70"/>
              <w:left w:type="dxa" w:w="110"/>
              <w:bottom w:type="dxa" w:w="70"/>
              <w:right w:type="dxa" w:w="110"/>
            </w:tcMar>
          </w:tcPr>
          <w:p>
            <w:pPr>
              <w:spacing w:after="0" w:before="0"/>
              <w:jc w:val="left"/>
            </w:pPr>
            <w:r>
              <w:rPr>
                <w:sz w:val="22"/>
                <w:szCs w:val="22"/>
              </w:rPr>
              <w:t xml:space="preserve">Separating wall — workshop / HTA substation</w:t>
            </w:r>
          </w:p>
        </w:tc>
        <w:tc>
          <w:tcPr>
            <w:tcW w:type="pct" w:w="33%"/>
            <w:tcMar>
              <w:top w:type="dxa" w:w="70"/>
              <w:left w:type="dxa" w:w="110"/>
              <w:bottom w:type="dxa" w:w="70"/>
              <w:right w:type="dxa" w:w="110"/>
            </w:tcMar>
          </w:tcPr>
          <w:p>
            <w:pPr>
              <w:spacing w:after="0" w:before="0"/>
              <w:jc w:val="left"/>
            </w:pPr>
            <w:r>
              <w:rPr>
                <w:sz w:val="22"/>
                <w:szCs w:val="22"/>
              </w:rPr>
              <w:t xml:space="preserve">REI 120</w:t>
            </w:r>
          </w:p>
        </w:tc>
        <w:tc>
          <w:tcPr>
            <w:tcW w:type="pct" w:w="33%"/>
            <w:tcMar>
              <w:top w:type="dxa" w:w="70"/>
              <w:left w:type="dxa" w:w="110"/>
              <w:bottom w:type="dxa" w:w="70"/>
              <w:right w:type="dxa" w:w="110"/>
            </w:tcMar>
          </w:tcPr>
          <w:p>
            <w:pPr>
              <w:spacing w:after="0" w:before="0"/>
              <w:jc w:val="left"/>
            </w:pPr>
            <w:r>
              <w:rPr>
                <w:sz w:val="22"/>
                <w:szCs w:val="22"/>
              </w:rPr>
              <w:t xml:space="preserve">High-voltage electrical enclosure isolation</w:t>
            </w:r>
          </w:p>
        </w:tc>
      </w:tr>
      <w:tr>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Door — workshop / showroom</w:t>
            </w:r>
          </w:p>
        </w:tc>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EI 60 + self-closing device</w:t>
            </w:r>
          </w:p>
        </w:tc>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Fire door — cross-zone passage</w:t>
            </w:r>
          </w:p>
        </w:tc>
      </w:tr>
      <w:tr>
        <w:tc>
          <w:tcPr>
            <w:tcW w:type="pct" w:w="33%"/>
            <w:tcMar>
              <w:top w:type="dxa" w:w="70"/>
              <w:left w:type="dxa" w:w="110"/>
              <w:bottom w:type="dxa" w:w="70"/>
              <w:right w:type="dxa" w:w="110"/>
            </w:tcMar>
          </w:tcPr>
          <w:p>
            <w:pPr>
              <w:spacing w:after="0" w:before="0"/>
              <w:jc w:val="left"/>
            </w:pPr>
            <w:r>
              <w:rPr>
                <w:sz w:val="22"/>
                <w:szCs w:val="22"/>
              </w:rPr>
              <w:t xml:space="preserve">Door — HTA substation</w:t>
            </w:r>
          </w:p>
        </w:tc>
        <w:tc>
          <w:tcPr>
            <w:tcW w:type="pct" w:w="33%"/>
            <w:tcMar>
              <w:top w:type="dxa" w:w="70"/>
              <w:left w:type="dxa" w:w="110"/>
              <w:bottom w:type="dxa" w:w="70"/>
              <w:right w:type="dxa" w:w="110"/>
            </w:tcMar>
          </w:tcPr>
          <w:p>
            <w:pPr>
              <w:spacing w:after="0" w:before="0"/>
              <w:jc w:val="left"/>
            </w:pPr>
            <w:r>
              <w:rPr>
                <w:sz w:val="22"/>
                <w:szCs w:val="22"/>
              </w:rPr>
              <w:t xml:space="preserve">EI 60 + self-closing device</w:t>
            </w:r>
          </w:p>
        </w:tc>
        <w:tc>
          <w:tcPr>
            <w:tcW w:type="pct" w:w="33%"/>
            <w:tcMar>
              <w:top w:type="dxa" w:w="70"/>
              <w:left w:type="dxa" w:w="110"/>
              <w:bottom w:type="dxa" w:w="70"/>
              <w:right w:type="dxa" w:w="110"/>
            </w:tcMar>
          </w:tcPr>
          <w:p>
            <w:pPr>
              <w:spacing w:after="0" w:before="0"/>
              <w:jc w:val="left"/>
            </w:pPr>
            <w:r>
              <w:rPr>
                <w:sz w:val="22"/>
                <w:szCs w:val="22"/>
              </w:rPr>
              <w:t xml:space="preserve">Electrical enclosure access</w:t>
            </w:r>
          </w:p>
        </w:tc>
      </w:tr>
      <w:tr>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Workshop roof structure</w:t>
            </w:r>
          </w:p>
        </w:tc>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REI 30 minimum</w:t>
            </w:r>
          </w:p>
        </w:tc>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Protected steel frame or fire-treated timber</w:t>
            </w:r>
          </w:p>
        </w:tc>
      </w:tr>
      <w:tr>
        <w:tc>
          <w:tcPr>
            <w:tcW w:type="pct" w:w="33%"/>
            <w:tcMar>
              <w:top w:type="dxa" w:w="70"/>
              <w:left w:type="dxa" w:w="110"/>
              <w:bottom w:type="dxa" w:w="70"/>
              <w:right w:type="dxa" w:w="110"/>
            </w:tcMar>
          </w:tcPr>
          <w:p>
            <w:pPr>
              <w:spacing w:after="0" w:before="0"/>
              <w:jc w:val="left"/>
            </w:pPr>
            <w:r>
              <w:rPr>
                <w:sz w:val="22"/>
                <w:szCs w:val="22"/>
              </w:rPr>
              <w:t xml:space="preserve">Workshop floor</w:t>
            </w:r>
          </w:p>
        </w:tc>
        <w:tc>
          <w:tcPr>
            <w:tcW w:type="pct" w:w="33%"/>
            <w:tcMar>
              <w:top w:type="dxa" w:w="70"/>
              <w:left w:type="dxa" w:w="110"/>
              <w:bottom w:type="dxa" w:w="70"/>
              <w:right w:type="dxa" w:w="110"/>
            </w:tcMar>
          </w:tcPr>
          <w:p>
            <w:pPr>
              <w:spacing w:after="0" w:before="0"/>
              <w:jc w:val="left"/>
            </w:pPr>
            <w:r>
              <w:rPr>
                <w:sz w:val="22"/>
                <w:szCs w:val="22"/>
              </w:rPr>
              <w:t xml:space="preserve">Non-combustible concrete slab</w:t>
            </w:r>
          </w:p>
        </w:tc>
        <w:tc>
          <w:tcPr>
            <w:tcW w:type="pct" w:w="33%"/>
            <w:tcMar>
              <w:top w:type="dxa" w:w="70"/>
              <w:left w:type="dxa" w:w="110"/>
              <w:bottom w:type="dxa" w:w="70"/>
              <w:right w:type="dxa" w:w="110"/>
            </w:tcMar>
          </w:tcPr>
          <w:p>
            <w:pPr>
              <w:spacing w:after="0" w:before="0"/>
              <w:jc w:val="left"/>
            </w:pPr>
            <w:r>
              <w:rPr>
                <w:sz w:val="22"/>
                <w:szCs w:val="22"/>
              </w:rPr>
              <w:t xml:space="preserve">Base substrate — no additional protection required</w:t>
            </w:r>
          </w:p>
        </w:tc>
      </w:tr>
      <w:tr>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Varnishing booth walls</w:t>
            </w:r>
          </w:p>
        </w:tc>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REI 60</w:t>
            </w:r>
          </w:p>
        </w:tc>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Solvent vapour containment</w:t>
            </w:r>
          </w:p>
        </w:tc>
      </w:tr>
      <w:tr>
        <w:tc>
          <w:tcPr>
            <w:tcW w:type="pct" w:w="33%"/>
            <w:tcMar>
              <w:top w:type="dxa" w:w="70"/>
              <w:left w:type="dxa" w:w="110"/>
              <w:bottom w:type="dxa" w:w="70"/>
              <w:right w:type="dxa" w:w="110"/>
            </w:tcMar>
          </w:tcPr>
          <w:p>
            <w:pPr>
              <w:spacing w:after="0" w:before="0"/>
              <w:jc w:val="left"/>
            </w:pPr>
            <w:r>
              <w:rPr>
                <w:sz w:val="22"/>
                <w:szCs w:val="22"/>
              </w:rPr>
              <w:t xml:space="preserve">Timber storage area partition</w:t>
            </w:r>
          </w:p>
        </w:tc>
        <w:tc>
          <w:tcPr>
            <w:tcW w:type="pct" w:w="33%"/>
            <w:tcMar>
              <w:top w:type="dxa" w:w="70"/>
              <w:left w:type="dxa" w:w="110"/>
              <w:bottom w:type="dxa" w:w="70"/>
              <w:right w:type="dxa" w:w="110"/>
            </w:tcMar>
          </w:tcPr>
          <w:p>
            <w:pPr>
              <w:spacing w:after="0" w:before="0"/>
              <w:jc w:val="left"/>
            </w:pPr>
            <w:r>
              <w:rPr>
                <w:sz w:val="22"/>
                <w:szCs w:val="22"/>
              </w:rPr>
              <w:t xml:space="preserve">REI 60</w:t>
            </w:r>
          </w:p>
        </w:tc>
        <w:tc>
          <w:tcPr>
            <w:tcW w:type="pct" w:w="33%"/>
            <w:tcMar>
              <w:top w:type="dxa" w:w="70"/>
              <w:left w:type="dxa" w:w="110"/>
              <w:bottom w:type="dxa" w:w="70"/>
              <w:right w:type="dxa" w:w="110"/>
            </w:tcMar>
          </w:tcPr>
          <w:p>
            <w:pPr>
              <w:spacing w:after="0" w:before="0"/>
              <w:jc w:val="left"/>
            </w:pPr>
            <w:r>
              <w:rPr>
                <w:sz w:val="22"/>
                <w:szCs w:val="22"/>
              </w:rPr>
              <w:t xml:space="preserve">Separation from active workshop zone</w:t>
            </w:r>
          </w:p>
        </w:tc>
      </w:tr>
    </w:tbl>
    <w:p/>
    <w:p/>
    <w:p>
      <w:pPr>
        <w:pStyle w:val="Heading3"/>
      </w:pPr>
      <w:bookmarkStart w:name="nexia_h_73" w:id="1"/>
      <w:r>
        <w:rPr>
          <w:b/>
          <w:bCs/>
        </w:rPr>
        <w:t xml:space="preserve">1.4.2.  </w:t>
      </w:r>
      <w:r>
        <w:t xml:space="preserve">Reaction to Fire — Euroclass Ratings</w:t>
      </w:r>
      <w:bookmarkEnd w:id="1"/>
    </w:p>
    <w:p/>
    <w:p>
      <w:pPr>
        <w:spacing w:after="120" w:line="320"/>
        <w:jc w:val="both"/>
      </w:pPr>
      <w:r>
        <w:t xml:space="preserve">All construction materials and surface finishes must comply with the European Euroclass system for reaction to fire:</w:t>
      </w:r>
    </w:p>
    <w:p/>
    <w:tbl>
      <w:tblPr>
        <w:tblW w:type="pct" w:w="100%"/>
        <w:tblBorders>
          <w:top w:val="single" w:color="BFBFBF" w:sz="6"/>
          <w:left w:val="single" w:color="BFBFBF" w:sz="6"/>
          <w:bottom w:val="single" w:color="BFBFBF" w:sz="6"/>
          <w:right w:val="single" w:color="BFBFBF" w:sz="6"/>
          <w:insideH w:val="single" w:color="BFBFBF" w:sz="6"/>
          <w:insideV w:val="single" w:color="BFBFBF" w:sz="6"/>
        </w:tblBorders>
      </w:tblPr>
      <w:tblGrid>
        <w:gridCol w:w="100"/>
        <w:gridCol w:w="100"/>
        <w:gridCol w:w="100"/>
      </w:tblGrid>
      <w:tr>
        <w:trPr>
          <w:tblHeader/>
        </w:trPr>
        <w:tc>
          <w:tcPr>
            <w:tcW w:type="pct" w:w="33%"/>
            <w:shd w:fill="1A1F2E" w:color="auto" w:val="clear"/>
            <w:tcMar>
              <w:top w:type="dxa" w:w="100"/>
              <w:left w:type="dxa" w:w="110"/>
              <w:bottom w:type="dxa" w:w="100"/>
              <w:right w:type="dxa" w:w="110"/>
            </w:tcMar>
          </w:tcPr>
          <w:p>
            <w:pPr>
              <w:spacing w:after="0" w:before="0"/>
              <w:jc w:val="left"/>
            </w:pPr>
            <w:r>
              <w:rPr>
                <w:b/>
                <w:bCs/>
                <w:color w:val="FFFFFF"/>
                <w:sz w:val="22"/>
                <w:szCs w:val="22"/>
              </w:rPr>
              <w:t xml:space="preserve">Zone</w:t>
            </w:r>
          </w:p>
        </w:tc>
        <w:tc>
          <w:tcPr>
            <w:tcW w:type="pct" w:w="33%"/>
            <w:shd w:fill="1A1F2E" w:color="auto" w:val="clear"/>
            <w:tcMar>
              <w:top w:type="dxa" w:w="100"/>
              <w:left w:type="dxa" w:w="110"/>
              <w:bottom w:type="dxa" w:w="100"/>
              <w:right w:type="dxa" w:w="110"/>
            </w:tcMar>
          </w:tcPr>
          <w:p>
            <w:pPr>
              <w:spacing w:after="0" w:before="0"/>
              <w:jc w:val="left"/>
            </w:pPr>
            <w:r>
              <w:rPr>
                <w:b/>
                <w:bCs/>
                <w:color w:val="FFFFFF"/>
                <w:sz w:val="22"/>
                <w:szCs w:val="22"/>
              </w:rPr>
              <w:t xml:space="preserve">Element</w:t>
            </w:r>
          </w:p>
        </w:tc>
        <w:tc>
          <w:tcPr>
            <w:tcW w:type="pct" w:w="33%"/>
            <w:shd w:fill="1A1F2E" w:color="auto" w:val="clear"/>
            <w:tcMar>
              <w:top w:type="dxa" w:w="100"/>
              <w:left w:type="dxa" w:w="110"/>
              <w:bottom w:type="dxa" w:w="100"/>
              <w:right w:type="dxa" w:w="110"/>
            </w:tcMar>
          </w:tcPr>
          <w:p>
            <w:pPr>
              <w:spacing w:after="0" w:before="0"/>
              <w:jc w:val="left"/>
            </w:pPr>
            <w:r>
              <w:rPr>
                <w:b/>
                <w:bCs/>
                <w:color w:val="FFFFFF"/>
                <w:sz w:val="22"/>
                <w:szCs w:val="22"/>
              </w:rPr>
              <w:t xml:space="preserve">Minimum Euroclass</w:t>
            </w:r>
          </w:p>
        </w:tc>
      </w:tr>
      <w:tr>
        <w:tc>
          <w:tcPr>
            <w:tcW w:type="pct" w:w="33%"/>
            <w:tcMar>
              <w:top w:type="dxa" w:w="70"/>
              <w:left w:type="dxa" w:w="110"/>
              <w:bottom w:type="dxa" w:w="70"/>
              <w:right w:type="dxa" w:w="110"/>
            </w:tcMar>
          </w:tcPr>
          <w:p>
            <w:pPr>
              <w:spacing w:after="0" w:before="0"/>
              <w:jc w:val="left"/>
            </w:pPr>
            <w:r>
              <w:rPr>
                <w:sz w:val="22"/>
                <w:szCs w:val="22"/>
              </w:rPr>
              <w:t xml:space="preserve">Workshop (walls, ceiling)</w:t>
            </w:r>
          </w:p>
        </w:tc>
        <w:tc>
          <w:tcPr>
            <w:tcW w:type="pct" w:w="33%"/>
            <w:tcMar>
              <w:top w:type="dxa" w:w="70"/>
              <w:left w:type="dxa" w:w="110"/>
              <w:bottom w:type="dxa" w:w="70"/>
              <w:right w:type="dxa" w:w="110"/>
            </w:tcMar>
          </w:tcPr>
          <w:p>
            <w:pPr>
              <w:spacing w:after="0" w:before="0"/>
              <w:jc w:val="left"/>
            </w:pPr>
            <w:r>
              <w:rPr>
                <w:sz w:val="22"/>
                <w:szCs w:val="22"/>
              </w:rPr>
              <w:t xml:space="preserve">Non-combustible finishes mandatory</w:t>
            </w:r>
          </w:p>
        </w:tc>
        <w:tc>
          <w:tcPr>
            <w:tcW w:type="pct" w:w="33%"/>
            <w:tcMar>
              <w:top w:type="dxa" w:w="70"/>
              <w:left w:type="dxa" w:w="110"/>
              <w:bottom w:type="dxa" w:w="70"/>
              <w:right w:type="dxa" w:w="110"/>
            </w:tcMar>
          </w:tcPr>
          <w:p>
            <w:pPr>
              <w:spacing w:after="0" w:before="0"/>
              <w:jc w:val="left"/>
            </w:pPr>
            <w:r>
              <w:rPr>
                <w:sz w:val="22"/>
                <w:szCs w:val="22"/>
              </w:rPr>
              <w:t xml:space="preserve">A2-s1,d0</w:t>
            </w:r>
          </w:p>
        </w:tc>
      </w:tr>
      <w:tr>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Workshop (floor)</w:t>
            </w:r>
          </w:p>
        </w:tc>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Bare concrete — no coating</w:t>
            </w:r>
          </w:p>
        </w:tc>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w:t>
            </w:r>
          </w:p>
        </w:tc>
      </w:tr>
      <w:tr>
        <w:tc>
          <w:tcPr>
            <w:tcW w:type="pct" w:w="33%"/>
            <w:tcMar>
              <w:top w:type="dxa" w:w="70"/>
              <w:left w:type="dxa" w:w="110"/>
              <w:bottom w:type="dxa" w:w="70"/>
              <w:right w:type="dxa" w:w="110"/>
            </w:tcMar>
          </w:tcPr>
          <w:p>
            <w:pPr>
              <w:spacing w:after="0" w:before="0"/>
              <w:jc w:val="left"/>
            </w:pPr>
            <w:r>
              <w:rPr>
                <w:sz w:val="22"/>
                <w:szCs w:val="22"/>
              </w:rPr>
              <w:t xml:space="preserve">Showroom (walls)</w:t>
            </w:r>
          </w:p>
        </w:tc>
        <w:tc>
          <w:tcPr>
            <w:tcW w:type="pct" w:w="33%"/>
            <w:tcMar>
              <w:top w:type="dxa" w:w="70"/>
              <w:left w:type="dxa" w:w="110"/>
              <w:bottom w:type="dxa" w:w="70"/>
              <w:right w:type="dxa" w:w="110"/>
            </w:tcMar>
          </w:tcPr>
          <w:p>
            <w:pPr>
              <w:spacing w:after="0" w:before="0"/>
              <w:jc w:val="left"/>
            </w:pPr>
            <w:r>
              <w:rPr>
                <w:sz w:val="22"/>
                <w:szCs w:val="22"/>
              </w:rPr>
              <w:t xml:space="preserve">Plaster or painted concrete</w:t>
            </w:r>
          </w:p>
        </w:tc>
        <w:tc>
          <w:tcPr>
            <w:tcW w:type="pct" w:w="33%"/>
            <w:tcMar>
              <w:top w:type="dxa" w:w="70"/>
              <w:left w:type="dxa" w:w="110"/>
              <w:bottom w:type="dxa" w:w="70"/>
              <w:right w:type="dxa" w:w="110"/>
            </w:tcMar>
          </w:tcPr>
          <w:p>
            <w:pPr>
              <w:spacing w:after="0" w:before="0"/>
              <w:jc w:val="left"/>
            </w:pPr>
            <w:r>
              <w:rPr>
                <w:sz w:val="22"/>
                <w:szCs w:val="22"/>
              </w:rPr>
              <w:t xml:space="preserve">B-s1,d0</w:t>
            </w:r>
          </w:p>
        </w:tc>
      </w:tr>
      <w:tr>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Showroom (floor)</w:t>
            </w:r>
          </w:p>
        </w:tc>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Ceramic tiling</w:t>
            </w:r>
          </w:p>
        </w:tc>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A1fl</w:t>
            </w:r>
          </w:p>
        </w:tc>
      </w:tr>
      <w:tr>
        <w:tc>
          <w:tcPr>
            <w:tcW w:type="pct" w:w="33%"/>
            <w:tcMar>
              <w:top w:type="dxa" w:w="70"/>
              <w:left w:type="dxa" w:w="110"/>
              <w:bottom w:type="dxa" w:w="70"/>
              <w:right w:type="dxa" w:w="110"/>
            </w:tcMar>
          </w:tcPr>
          <w:p>
            <w:pPr>
              <w:spacing w:after="0" w:before="0"/>
              <w:jc w:val="left"/>
            </w:pPr>
            <w:r>
              <w:rPr>
                <w:sz w:val="22"/>
                <w:szCs w:val="22"/>
              </w:rPr>
              <w:t xml:space="preserve">Offices (walls, ceiling)</w:t>
            </w:r>
          </w:p>
        </w:tc>
        <w:tc>
          <w:tcPr>
            <w:tcW w:type="pct" w:w="33%"/>
            <w:tcMar>
              <w:top w:type="dxa" w:w="70"/>
              <w:left w:type="dxa" w:w="110"/>
              <w:bottom w:type="dxa" w:w="70"/>
              <w:right w:type="dxa" w:w="110"/>
            </w:tcMar>
          </w:tcPr>
          <w:p>
            <w:pPr>
              <w:spacing w:after="0" w:before="0"/>
              <w:jc w:val="left"/>
            </w:pPr>
            <w:r>
              <w:rPr>
                <w:sz w:val="22"/>
                <w:szCs w:val="22"/>
              </w:rPr>
              <w:t xml:space="preserve">Standard painted plaster</w:t>
            </w:r>
          </w:p>
        </w:tc>
        <w:tc>
          <w:tcPr>
            <w:tcW w:type="pct" w:w="33%"/>
            <w:tcMar>
              <w:top w:type="dxa" w:w="70"/>
              <w:left w:type="dxa" w:w="110"/>
              <w:bottom w:type="dxa" w:w="70"/>
              <w:right w:type="dxa" w:w="110"/>
            </w:tcMar>
          </w:tcPr>
          <w:p>
            <w:pPr>
              <w:spacing w:after="0" w:before="0"/>
              <w:jc w:val="left"/>
            </w:pPr>
            <w:r>
              <w:rPr>
                <w:sz w:val="22"/>
                <w:szCs w:val="22"/>
              </w:rPr>
              <w:t xml:space="preserve">C-s2,d0 minimum</w:t>
            </w:r>
          </w:p>
        </w:tc>
      </w:tr>
      <w:tr>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Fire doors (all zones)</w:t>
            </w:r>
          </w:p>
        </w:tc>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Solid steel or fire-treated timber</w:t>
            </w:r>
          </w:p>
        </w:tc>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EI 60 classification</w:t>
            </w:r>
          </w:p>
        </w:tc>
      </w:tr>
      <w:tr>
        <w:tc>
          <w:tcPr>
            <w:tcW w:type="pct" w:w="33%"/>
            <w:tcMar>
              <w:top w:type="dxa" w:w="70"/>
              <w:left w:type="dxa" w:w="110"/>
              <w:bottom w:type="dxa" w:w="70"/>
              <w:right w:type="dxa" w:w="110"/>
            </w:tcMar>
          </w:tcPr>
          <w:p>
            <w:pPr>
              <w:spacing w:after="0" w:before="0"/>
              <w:jc w:val="left"/>
            </w:pPr>
            <w:r>
              <w:rPr>
                <w:sz w:val="22"/>
                <w:szCs w:val="22"/>
              </w:rPr>
              <w:t xml:space="preserve">Varnishing booth (all surfaces)</w:t>
            </w:r>
          </w:p>
        </w:tc>
        <w:tc>
          <w:tcPr>
            <w:tcW w:type="pct" w:w="33%"/>
            <w:tcMar>
              <w:top w:type="dxa" w:w="70"/>
              <w:left w:type="dxa" w:w="110"/>
              <w:bottom w:type="dxa" w:w="70"/>
              <w:right w:type="dxa" w:w="110"/>
            </w:tcMar>
          </w:tcPr>
          <w:p>
            <w:pPr>
              <w:spacing w:after="0" w:before="0"/>
              <w:jc w:val="left"/>
            </w:pPr>
            <w:r>
              <w:rPr>
                <w:sz w:val="22"/>
                <w:szCs w:val="22"/>
              </w:rPr>
              <w:t xml:space="preserve">Steel or A2 panel</w:t>
            </w:r>
          </w:p>
        </w:tc>
        <w:tc>
          <w:tcPr>
            <w:tcW w:type="pct" w:w="33%"/>
            <w:tcMar>
              <w:top w:type="dxa" w:w="70"/>
              <w:left w:type="dxa" w:w="110"/>
              <w:bottom w:type="dxa" w:w="70"/>
              <w:right w:type="dxa" w:w="110"/>
            </w:tcMar>
          </w:tcPr>
          <w:p>
            <w:pPr>
              <w:spacing w:after="0" w:before="0"/>
              <w:jc w:val="left"/>
            </w:pPr>
            <w:r>
              <w:rPr>
                <w:sz w:val="22"/>
                <w:szCs w:val="22"/>
              </w:rPr>
              <w:t xml:space="preserve">A2-s1,d0</w:t>
            </w:r>
          </w:p>
        </w:tc>
      </w:tr>
    </w:tbl>
    <w:p/>
    <w:p/>
    <w:p>
      <w:pPr>
        <w:pStyle w:val="Heading3"/>
      </w:pPr>
      <w:bookmarkStart w:name="nexia_h_79" w:id="1"/>
      <w:r>
        <w:rPr>
          <w:b/>
          <w:bCs/>
        </w:rPr>
        <w:t xml:space="preserve">1.4.3.  </w:t>
      </w:r>
      <w:r>
        <w:t xml:space="preserve">Zone Separation Requirements</w:t>
      </w:r>
      <w:bookmarkEnd w:id="1"/>
    </w:p>
    <w:p/>
    <w:tbl>
      <w:tblPr>
        <w:tblW w:type="pct" w:w="100%"/>
        <w:tblBorders>
          <w:top w:val="single" w:color="BFBFBF" w:sz="6"/>
          <w:left w:val="single" w:color="BFBFBF" w:sz="6"/>
          <w:bottom w:val="single" w:color="BFBFBF" w:sz="6"/>
          <w:right w:val="single" w:color="BFBFBF" w:sz="6"/>
          <w:insideH w:val="single" w:color="BFBFBF" w:sz="6"/>
          <w:insideV w:val="single" w:color="BFBFBF" w:sz="6"/>
        </w:tblBorders>
      </w:tblPr>
      <w:tblGrid>
        <w:gridCol w:w="100"/>
        <w:gridCol w:w="100"/>
        <w:gridCol w:w="100"/>
      </w:tblGrid>
      <w:tr>
        <w:trPr>
          <w:tblHeader/>
        </w:trPr>
        <w:tc>
          <w:tcPr>
            <w:tcW w:type="pct" w:w="33%"/>
            <w:shd w:fill="1A1F2E" w:color="auto" w:val="clear"/>
            <w:tcMar>
              <w:top w:type="dxa" w:w="100"/>
              <w:left w:type="dxa" w:w="110"/>
              <w:bottom w:type="dxa" w:w="100"/>
              <w:right w:type="dxa" w:w="110"/>
            </w:tcMar>
          </w:tcPr>
          <w:p>
            <w:pPr>
              <w:spacing w:after="0" w:before="0"/>
              <w:jc w:val="left"/>
            </w:pPr>
            <w:r>
              <w:rPr>
                <w:b/>
                <w:bCs/>
                <w:color w:val="FFFFFF"/>
                <w:sz w:val="22"/>
                <w:szCs w:val="22"/>
              </w:rPr>
              <w:t xml:space="preserve">Source zone</w:t>
            </w:r>
          </w:p>
        </w:tc>
        <w:tc>
          <w:tcPr>
            <w:tcW w:type="pct" w:w="33%"/>
            <w:shd w:fill="1A1F2E" w:color="auto" w:val="clear"/>
            <w:tcMar>
              <w:top w:type="dxa" w:w="100"/>
              <w:left w:type="dxa" w:w="110"/>
              <w:bottom w:type="dxa" w:w="100"/>
              <w:right w:type="dxa" w:w="110"/>
            </w:tcMar>
          </w:tcPr>
          <w:p>
            <w:pPr>
              <w:spacing w:after="0" w:before="0"/>
              <w:jc w:val="left"/>
            </w:pPr>
            <w:r>
              <w:rPr>
                <w:b/>
                <w:bCs/>
                <w:color w:val="FFFFFF"/>
                <w:sz w:val="22"/>
                <w:szCs w:val="22"/>
              </w:rPr>
              <w:t xml:space="preserve">Protected zone</w:t>
            </w:r>
          </w:p>
        </w:tc>
        <w:tc>
          <w:tcPr>
            <w:tcW w:type="pct" w:w="33%"/>
            <w:shd w:fill="1A1F2E" w:color="auto" w:val="clear"/>
            <w:tcMar>
              <w:top w:type="dxa" w:w="100"/>
              <w:left w:type="dxa" w:w="110"/>
              <w:bottom w:type="dxa" w:w="100"/>
              <w:right w:type="dxa" w:w="110"/>
            </w:tcMar>
          </w:tcPr>
          <w:p>
            <w:pPr>
              <w:spacing w:after="0" w:before="0"/>
              <w:jc w:val="left"/>
            </w:pPr>
            <w:r>
              <w:rPr>
                <w:b/>
                <w:bCs/>
                <w:color w:val="FFFFFF"/>
                <w:sz w:val="22"/>
                <w:szCs w:val="22"/>
              </w:rPr>
              <w:t xml:space="preserve">Required separation measure</w:t>
            </w:r>
          </w:p>
        </w:tc>
      </w:tr>
      <w:tr>
        <w:tc>
          <w:tcPr>
            <w:tcW w:type="pct" w:w="33%"/>
            <w:tcMar>
              <w:top w:type="dxa" w:w="70"/>
              <w:left w:type="dxa" w:w="110"/>
              <w:bottom w:type="dxa" w:w="70"/>
              <w:right w:type="dxa" w:w="110"/>
            </w:tcMar>
          </w:tcPr>
          <w:p>
            <w:pPr>
              <w:spacing w:after="0" w:before="0"/>
              <w:jc w:val="left"/>
            </w:pPr>
            <w:r>
              <w:rPr>
                <w:sz w:val="22"/>
                <w:szCs w:val="22"/>
              </w:rPr>
              <w:t xml:space="preserve">Varnishing / painting area</w:t>
            </w:r>
          </w:p>
        </w:tc>
        <w:tc>
          <w:tcPr>
            <w:tcW w:type="pct" w:w="33%"/>
            <w:tcMar>
              <w:top w:type="dxa" w:w="70"/>
              <w:left w:type="dxa" w:w="110"/>
              <w:bottom w:type="dxa" w:w="70"/>
              <w:right w:type="dxa" w:w="110"/>
            </w:tcMar>
          </w:tcPr>
          <w:p>
            <w:pPr>
              <w:spacing w:after="0" w:before="0"/>
              <w:jc w:val="left"/>
            </w:pPr>
            <w:r>
              <w:rPr>
                <w:sz w:val="22"/>
                <w:szCs w:val="22"/>
              </w:rPr>
              <w:t xml:space="preserve">Workshop</w:t>
            </w:r>
          </w:p>
        </w:tc>
        <w:tc>
          <w:tcPr>
            <w:tcW w:type="pct" w:w="33%"/>
            <w:tcMar>
              <w:top w:type="dxa" w:w="70"/>
              <w:left w:type="dxa" w:w="110"/>
              <w:bottom w:type="dxa" w:w="70"/>
              <w:right w:type="dxa" w:w="110"/>
            </w:tcMar>
          </w:tcPr>
          <w:p>
            <w:pPr>
              <w:spacing w:after="0" w:before="0"/>
              <w:jc w:val="left"/>
            </w:pPr>
            <w:r>
              <w:rPr>
                <w:sz w:val="22"/>
                <w:szCs w:val="22"/>
              </w:rPr>
              <w:t xml:space="preserve">Closed booth REI 60 — dedicated mechanical exhaust ventilation</w:t>
            </w:r>
          </w:p>
        </w:tc>
      </w:tr>
      <w:tr>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Solvent storage room</w:t>
            </w:r>
          </w:p>
        </w:tc>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Workshop</w:t>
            </w:r>
          </w:p>
        </w:tc>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Separate room REI 60 — liquid retention basin 110% of max. stored volume</w:t>
            </w:r>
          </w:p>
        </w:tc>
      </w:tr>
      <w:tr>
        <w:tc>
          <w:tcPr>
            <w:tcW w:type="pct" w:w="33%"/>
            <w:tcMar>
              <w:top w:type="dxa" w:w="70"/>
              <w:left w:type="dxa" w:w="110"/>
              <w:bottom w:type="dxa" w:w="70"/>
              <w:right w:type="dxa" w:w="110"/>
            </w:tcMar>
          </w:tcPr>
          <w:p>
            <w:pPr>
              <w:spacing w:after="0" w:before="0"/>
              <w:jc w:val="left"/>
            </w:pPr>
            <w:r>
              <w:rPr>
                <w:sz w:val="22"/>
                <w:szCs w:val="22"/>
              </w:rPr>
              <w:t xml:space="preserve">Compressor room</w:t>
            </w:r>
          </w:p>
        </w:tc>
        <w:tc>
          <w:tcPr>
            <w:tcW w:type="pct" w:w="33%"/>
            <w:tcMar>
              <w:top w:type="dxa" w:w="70"/>
              <w:left w:type="dxa" w:w="110"/>
              <w:bottom w:type="dxa" w:w="70"/>
              <w:right w:type="dxa" w:w="110"/>
            </w:tcMar>
          </w:tcPr>
          <w:p>
            <w:pPr>
              <w:spacing w:after="0" w:before="0"/>
              <w:jc w:val="left"/>
            </w:pPr>
            <w:r>
              <w:rPr>
                <w:sz w:val="22"/>
                <w:szCs w:val="22"/>
              </w:rPr>
              <w:t xml:space="preserve">Workshop</w:t>
            </w:r>
          </w:p>
        </w:tc>
        <w:tc>
          <w:tcPr>
            <w:tcW w:type="pct" w:w="33%"/>
            <w:tcMar>
              <w:top w:type="dxa" w:w="70"/>
              <w:left w:type="dxa" w:w="110"/>
              <w:bottom w:type="dxa" w:w="70"/>
              <w:right w:type="dxa" w:w="110"/>
            </w:tcMar>
          </w:tcPr>
          <w:p>
            <w:pPr>
              <w:spacing w:after="0" w:before="0"/>
              <w:jc w:val="left"/>
            </w:pPr>
            <w:r>
              <w:rPr>
                <w:sz w:val="22"/>
                <w:szCs w:val="22"/>
              </w:rPr>
              <w:t xml:space="preserve">REI 30 enclosure OR minimum 3 m clearance distance</w:t>
            </w:r>
          </w:p>
        </w:tc>
      </w:tr>
      <w:tr>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Timber storage area</w:t>
            </w:r>
          </w:p>
        </w:tc>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Production workshop</w:t>
            </w:r>
          </w:p>
        </w:tc>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Unobstructed circulation aisle ≥ 2 m wide</w:t>
            </w:r>
          </w:p>
        </w:tc>
      </w:tr>
      <w:tr>
        <w:tc>
          <w:tcPr>
            <w:tcW w:type="pct" w:w="33%"/>
            <w:tcMar>
              <w:top w:type="dxa" w:w="70"/>
              <w:left w:type="dxa" w:w="110"/>
              <w:bottom w:type="dxa" w:w="70"/>
              <w:right w:type="dxa" w:w="110"/>
            </w:tcMar>
          </w:tcPr>
          <w:p>
            <w:pPr>
              <w:spacing w:after="0" w:before="0"/>
              <w:jc w:val="left"/>
            </w:pPr>
            <w:r>
              <w:rPr>
                <w:sz w:val="22"/>
                <w:szCs w:val="22"/>
              </w:rPr>
              <w:t xml:space="preserve">Combustible waste containers</w:t>
            </w:r>
          </w:p>
        </w:tc>
        <w:tc>
          <w:tcPr>
            <w:tcW w:type="pct" w:w="33%"/>
            <w:tcMar>
              <w:top w:type="dxa" w:w="70"/>
              <w:left w:type="dxa" w:w="110"/>
              <w:bottom w:type="dxa" w:w="70"/>
              <w:right w:type="dxa" w:w="110"/>
            </w:tcMar>
          </w:tcPr>
          <w:p>
            <w:pPr>
              <w:spacing w:after="0" w:before="0"/>
              <w:jc w:val="left"/>
            </w:pPr>
            <w:r>
              <w:rPr>
                <w:sz w:val="22"/>
                <w:szCs w:val="22"/>
              </w:rPr>
              <w:t xml:space="preserve">All working areas</w:t>
            </w:r>
          </w:p>
        </w:tc>
        <w:tc>
          <w:tcPr>
            <w:tcW w:type="pct" w:w="33%"/>
            <w:tcMar>
              <w:top w:type="dxa" w:w="70"/>
              <w:left w:type="dxa" w:w="110"/>
              <w:bottom w:type="dxa" w:w="70"/>
              <w:right w:type="dxa" w:w="110"/>
            </w:tcMar>
          </w:tcPr>
          <w:p>
            <w:pPr>
              <w:spacing w:after="0" w:before="0"/>
              <w:jc w:val="left"/>
            </w:pPr>
            <w:r>
              <w:rPr>
                <w:sz w:val="22"/>
                <w:szCs w:val="22"/>
              </w:rPr>
              <w:t xml:space="preserve">Closed metal bins — removed daily to exterior</w:t>
            </w:r>
          </w:p>
        </w:tc>
      </w:tr>
    </w:tbl>
    <w:p/>
    <w:p/>
    <w:p>
      <w:pPr>
        <w:pStyle w:val="Heading3"/>
      </w:pPr>
      <w:bookmarkStart w:name="nexia_h_83" w:id="1"/>
      <w:r>
        <w:rPr>
          <w:b/>
          <w:bCs/>
        </w:rPr>
        <w:t xml:space="preserve">1.4.4.  </w:t>
      </w:r>
      <w:r>
        <w:t xml:space="preserve">Permanent Prohibitions</w:t>
      </w:r>
      <w:bookmarkEnd w:id="1"/>
    </w:p>
    <w:p/>
    <w:p>
      <w:pPr>
        <w:spacing w:after="120" w:line="320"/>
        <w:jc w:val="both"/>
      </w:pPr>
      <w:r>
        <w:t xml:space="preserve">The following prohibitions are permanently posted at all workshop entry points, in English and in Wolof (local language). Non-compliance constitutes a dismissible offence.</w:t>
      </w:r>
    </w:p>
    <w:p/>
    <w:p>
      <w:pPr>
        <w:spacing w:after="120" w:line="320"/>
        <w:jc w:val="both"/>
      </w:pPr>
      <w:r>
        <w:rPr>
          <w:b/>
          <w:bCs/>
        </w:rPr>
        <w:t xml:space="preserve">🚫 PERMANENTLY PROHIBITED IN THE WORKSHOP AND STORAGE AREAS:</w:t>
      </w:r>
    </w:p>
    <w:p>
      <w:pPr>
        <w:pStyle w:val="ListParagraph"/>
        <w:numPr>
          <w:ilvl w:val="0"/>
          <w:numId w:val="1"/>
        </w:numPr>
        <w:spacing w:line="300"/>
      </w:pPr>
      <w:r>
        <w:t xml:space="preserve">Smoking, open flames or any incandescent device of any kind</w:t>
      </w:r>
    </w:p>
    <w:p>
      <w:pPr>
        <w:pStyle w:val="ListParagraph"/>
        <w:numPr>
          <w:ilvl w:val="0"/>
          <w:numId w:val="1"/>
        </w:numPr>
        <w:spacing w:line="300"/>
      </w:pPr>
      <w:r>
        <w:t xml:space="preserve">Use of non-approved portable heating appliances (electric fan heaters, braziers)</w:t>
      </w:r>
    </w:p>
    <w:p>
      <w:pPr>
        <w:pStyle w:val="ListParagraph"/>
        <w:numPr>
          <w:ilvl w:val="0"/>
          <w:numId w:val="1"/>
        </w:numPr>
        <w:spacing w:line="300"/>
      </w:pPr>
      <w:r>
        <w:t xml:space="preserve">Leaving solvent-soaked or oil-soaked rags in open air after use</w:t>
      </w:r>
    </w:p>
    <w:p>
      <w:pPr>
        <w:pStyle w:val="ListParagraph"/>
        <w:numPr>
          <w:ilvl w:val="0"/>
          <w:numId w:val="1"/>
        </w:numPr>
        <w:spacing w:line="300"/>
      </w:pPr>
      <w:r>
        <w:t xml:space="preserve">Obstructing emergency exits, evacuation routes or fire-fighting equipment access</w:t>
      </w:r>
    </w:p>
    <w:p>
      <w:pPr>
        <w:pStyle w:val="ListParagraph"/>
        <w:numPr>
          <w:ilvl w:val="0"/>
          <w:numId w:val="1"/>
        </w:numPr>
        <w:spacing w:line="300"/>
      </w:pPr>
      <w:r>
        <w:t xml:space="preserve">Storing timber, materials or personal items within 1 m of any electrical panel</w:t>
      </w:r>
    </w:p>
    <w:p>
      <w:pPr>
        <w:pStyle w:val="ListParagraph"/>
        <w:numPr>
          <w:ilvl w:val="0"/>
          <w:numId w:val="1"/>
        </w:numPr>
        <w:spacing w:line="300"/>
      </w:pPr>
      <w:r>
        <w:t xml:space="preserve">Performing hot work (welding, grinding, cutting) without a signed Hot Work Permit</w:t>
      </w:r>
    </w:p>
    <w:p>
      <w:pPr>
        <w:pStyle w:val="ListParagraph"/>
        <w:numPr>
          <w:ilvl w:val="0"/>
          <w:numId w:val="1"/>
        </w:numPr>
        <w:spacing w:line="300"/>
      </w:pPr>
      <w:r>
        <w:t xml:space="preserve">Blocking automatic fire door closure devices in open position</w:t>
      </w:r>
    </w:p>
    <w:p/>
    <w:p>
      <w:pPr>
        <w:pBdr>
          <w:bottom w:val="single" w:color="E5E1D8" w:sz="6" w:space="1"/>
        </w:pBdr>
        <w:spacing w:after="120" w:before="120"/>
      </w:pPr>
      <w:r>
        <w:t xml:space="preserve"/>
      </w:r>
    </w:p>
    <w:p/>
    <w:p>
      <w:pPr>
        <w:pStyle w:val="Heading2"/>
      </w:pPr>
      <w:bookmarkStart w:name="nexia_h_98" w:id="1"/>
      <w:r>
        <w:rPr>
          <w:b/>
          <w:bCs/>
        </w:rPr>
        <w:t xml:space="preserve">1.5.  </w:t>
      </w:r>
      <w:r>
        <w:t xml:space="preserve">Automatic Fire Detection</w:t>
      </w:r>
      <w:bookmarkEnd w:id="1"/>
    </w:p>
    <w:p/>
    <w:p>
      <w:pPr>
        <w:pStyle w:val="Heading3"/>
      </w:pPr>
      <w:bookmarkStart w:name="nexia_h_100" w:id="1"/>
      <w:r>
        <w:rPr>
          <w:b/>
          <w:bCs/>
        </w:rPr>
        <w:t xml:space="preserve">1.5.1.  </w:t>
      </w:r>
      <w:r>
        <w:t xml:space="preserve">Fire Safety System (FSS) — Category A</w:t>
      </w:r>
      <w:bookmarkEnd w:id="1"/>
    </w:p>
    <w:p/>
    <w:p>
      <w:pPr>
        <w:spacing w:after="120" w:line="320"/>
        <w:jc w:val="both"/>
      </w:pPr>
      <w:r>
        <w:t xml:space="preserve">Given the critical risk level identified (calorific load &gt; 100 MJ/m², potential ATEX dust atmosphere), a </w:t>
      </w:r>
      <w:r>
        <w:rPr>
          <w:b/>
          <w:bCs/>
        </w:rPr>
        <w:t xml:space="preserve">Category A FSS</w:t>
      </w:r>
      <w:r>
        <w:t xml:space="preserve"> is mandatory. Category A is the highest level of fire safety system protection, combining automatic detection across all zones, general alarm and automatic control of all safety actuators (smoke extraction vents, fire door closure, remote monitoring).</w:t>
      </w:r>
    </w:p>
    <w:p/>
    <w:tbl>
      <w:tblPr>
        <w:tblW w:type="pct" w:w="100%"/>
        <w:tblBorders>
          <w:top w:val="single" w:color="BFBFBF" w:sz="6"/>
          <w:left w:val="single" w:color="BFBFBF" w:sz="6"/>
          <w:bottom w:val="single" w:color="BFBFBF" w:sz="6"/>
          <w:right w:val="single" w:color="BFBFBF" w:sz="6"/>
          <w:insideH w:val="single" w:color="BFBFBF" w:sz="6"/>
          <w:insideV w:val="single" w:color="BFBFBF" w:sz="6"/>
        </w:tblBorders>
      </w:tblPr>
      <w:tblGrid>
        <w:gridCol w:w="100"/>
        <w:gridCol w:w="100"/>
        <w:gridCol w:w="100"/>
      </w:tblGrid>
      <w:tr>
        <w:trPr>
          <w:tblHeader/>
        </w:trPr>
        <w:tc>
          <w:tcPr>
            <w:tcW w:type="pct" w:w="33%"/>
            <w:shd w:fill="1A1F2E" w:color="auto" w:val="clear"/>
            <w:tcMar>
              <w:top w:type="dxa" w:w="100"/>
              <w:left w:type="dxa" w:w="110"/>
              <w:bottom w:type="dxa" w:w="100"/>
              <w:right w:type="dxa" w:w="110"/>
            </w:tcMar>
          </w:tcPr>
          <w:p>
            <w:pPr>
              <w:spacing w:after="0" w:before="0"/>
              <w:jc w:val="left"/>
            </w:pPr>
            <w:r>
              <w:rPr>
                <w:b/>
                <w:bCs/>
                <w:color w:val="FFFFFF"/>
                <w:sz w:val="22"/>
                <w:szCs w:val="22"/>
              </w:rPr>
              <w:t xml:space="preserve">Component</w:t>
            </w:r>
          </w:p>
        </w:tc>
        <w:tc>
          <w:tcPr>
            <w:tcW w:type="pct" w:w="33%"/>
            <w:shd w:fill="1A1F2E" w:color="auto" w:val="clear"/>
            <w:tcMar>
              <w:top w:type="dxa" w:w="100"/>
              <w:left w:type="dxa" w:w="110"/>
              <w:bottom w:type="dxa" w:w="100"/>
              <w:right w:type="dxa" w:w="110"/>
            </w:tcMar>
          </w:tcPr>
          <w:p>
            <w:pPr>
              <w:spacing w:after="0" w:before="0"/>
              <w:jc w:val="left"/>
            </w:pPr>
            <w:r>
              <w:rPr>
                <w:b/>
                <w:bCs/>
                <w:color w:val="FFFFFF"/>
                <w:sz w:val="22"/>
                <w:szCs w:val="22"/>
              </w:rPr>
              <w:t xml:space="preserve">Type selected</w:t>
            </w:r>
          </w:p>
        </w:tc>
        <w:tc>
          <w:tcPr>
            <w:tcW w:type="pct" w:w="33%"/>
            <w:shd w:fill="1A1F2E" w:color="auto" w:val="clear"/>
            <w:tcMar>
              <w:top w:type="dxa" w:w="100"/>
              <w:left w:type="dxa" w:w="110"/>
              <w:bottom w:type="dxa" w:w="100"/>
              <w:right w:type="dxa" w:w="110"/>
            </w:tcMar>
          </w:tcPr>
          <w:p>
            <w:pPr>
              <w:spacing w:after="0" w:before="0"/>
              <w:jc w:val="left"/>
            </w:pPr>
            <w:r>
              <w:rPr>
                <w:b/>
                <w:bCs/>
                <w:color w:val="FFFFFF"/>
                <w:sz w:val="22"/>
                <w:szCs w:val="22"/>
              </w:rPr>
              <w:t xml:space="preserve">Applicable standard</w:t>
            </w:r>
          </w:p>
        </w:tc>
      </w:tr>
      <w:tr>
        <w:tc>
          <w:tcPr>
            <w:tcW w:type="pct" w:w="33%"/>
            <w:tcMar>
              <w:top w:type="dxa" w:w="70"/>
              <w:left w:type="dxa" w:w="110"/>
              <w:bottom w:type="dxa" w:w="70"/>
              <w:right w:type="dxa" w:w="110"/>
            </w:tcMar>
          </w:tcPr>
          <w:p>
            <w:pPr>
              <w:spacing w:after="0" w:before="0"/>
              <w:jc w:val="left"/>
            </w:pPr>
            <w:r>
              <w:rPr>
                <w:sz w:val="22"/>
                <w:szCs w:val="22"/>
              </w:rPr>
              <w:t xml:space="preserve">Fire Detection Panel (FDP)</w:t>
            </w:r>
          </w:p>
        </w:tc>
        <w:tc>
          <w:tcPr>
            <w:tcW w:type="pct" w:w="33%"/>
            <w:tcMar>
              <w:top w:type="dxa" w:w="70"/>
              <w:left w:type="dxa" w:w="110"/>
              <w:bottom w:type="dxa" w:w="70"/>
              <w:right w:type="dxa" w:w="110"/>
            </w:tcMar>
          </w:tcPr>
          <w:p>
            <w:pPr>
              <w:spacing w:after="0" w:before="0"/>
              <w:jc w:val="left"/>
            </w:pPr>
            <w:r>
              <w:rPr>
                <w:sz w:val="22"/>
                <w:szCs w:val="22"/>
              </w:rPr>
              <w:t xml:space="preserve">Addressable — 4 loops — 128 points min.</w:t>
            </w:r>
          </w:p>
        </w:tc>
        <w:tc>
          <w:tcPr>
            <w:tcW w:type="pct" w:w="33%"/>
            <w:tcMar>
              <w:top w:type="dxa" w:w="70"/>
              <w:left w:type="dxa" w:w="110"/>
              <w:bottom w:type="dxa" w:w="70"/>
              <w:right w:type="dxa" w:w="110"/>
            </w:tcMar>
          </w:tcPr>
          <w:p>
            <w:pPr>
              <w:spacing w:after="0" w:before="0"/>
              <w:jc w:val="left"/>
            </w:pPr>
            <w:r>
              <w:rPr>
                <w:sz w:val="22"/>
                <w:szCs w:val="22"/>
              </w:rPr>
              <w:t xml:space="preserve">NF EN 54-2</w:t>
            </w:r>
          </w:p>
        </w:tc>
      </w:tr>
      <w:tr>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Workshop detectors — wood dust</w:t>
            </w:r>
          </w:p>
        </w:tc>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Multi-sensor: optical smoke + thermal — combined</w:t>
            </w:r>
          </w:p>
        </w:tc>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NF EN 54-5 / 54-7</w:t>
            </w:r>
          </w:p>
        </w:tc>
      </w:tr>
      <w:tr>
        <w:tc>
          <w:tcPr>
            <w:tcW w:type="pct" w:w="33%"/>
            <w:tcMar>
              <w:top w:type="dxa" w:w="70"/>
              <w:left w:type="dxa" w:w="110"/>
              <w:bottom w:type="dxa" w:w="70"/>
              <w:right w:type="dxa" w:w="110"/>
            </w:tcMar>
          </w:tcPr>
          <w:p>
            <w:pPr>
              <w:spacing w:after="0" w:before="0"/>
              <w:jc w:val="left"/>
            </w:pPr>
            <w:r>
              <w:rPr>
                <w:sz w:val="22"/>
                <w:szCs w:val="22"/>
              </w:rPr>
              <w:t xml:space="preserve">Showroom and office detectors</w:t>
            </w:r>
          </w:p>
        </w:tc>
        <w:tc>
          <w:tcPr>
            <w:tcW w:type="pct" w:w="33%"/>
            <w:tcMar>
              <w:top w:type="dxa" w:w="70"/>
              <w:left w:type="dxa" w:w="110"/>
              <w:bottom w:type="dxa" w:w="70"/>
              <w:right w:type="dxa" w:w="110"/>
            </w:tcMar>
          </w:tcPr>
          <w:p>
            <w:pPr>
              <w:spacing w:after="0" w:before="0"/>
              <w:jc w:val="left"/>
            </w:pPr>
            <w:r>
              <w:rPr>
                <w:sz w:val="22"/>
                <w:szCs w:val="22"/>
              </w:rPr>
              <w:t xml:space="preserve">Optical smoke point detector</w:t>
            </w:r>
          </w:p>
        </w:tc>
        <w:tc>
          <w:tcPr>
            <w:tcW w:type="pct" w:w="33%"/>
            <w:tcMar>
              <w:top w:type="dxa" w:w="70"/>
              <w:left w:type="dxa" w:w="110"/>
              <w:bottom w:type="dxa" w:w="70"/>
              <w:right w:type="dxa" w:w="110"/>
            </w:tcMar>
          </w:tcPr>
          <w:p>
            <w:pPr>
              <w:spacing w:after="0" w:before="0"/>
              <w:jc w:val="left"/>
            </w:pPr>
            <w:r>
              <w:rPr>
                <w:sz w:val="22"/>
                <w:szCs w:val="22"/>
              </w:rPr>
              <w:t xml:space="preserve">NF EN 54-7</w:t>
            </w:r>
          </w:p>
        </w:tc>
      </w:tr>
      <w:tr>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Varnishing zone detector</w:t>
            </w:r>
          </w:p>
        </w:tc>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Gas detector — solvent vapours (VOC)</w:t>
            </w:r>
          </w:p>
        </w:tc>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NF EN 54-26</w:t>
            </w:r>
          </w:p>
        </w:tc>
      </w:tr>
      <w:tr>
        <w:tc>
          <w:tcPr>
            <w:tcW w:type="pct" w:w="33%"/>
            <w:tcMar>
              <w:top w:type="dxa" w:w="70"/>
              <w:left w:type="dxa" w:w="110"/>
              <w:bottom w:type="dxa" w:w="70"/>
              <w:right w:type="dxa" w:w="110"/>
            </w:tcMar>
          </w:tcPr>
          <w:p>
            <w:pPr>
              <w:spacing w:after="0" w:before="0"/>
              <w:jc w:val="left"/>
            </w:pPr>
            <w:r>
              <w:rPr>
                <w:sz w:val="22"/>
                <w:szCs w:val="22"/>
              </w:rPr>
              <w:t xml:space="preserve">Manual Call Points (MCP) — break-glass</w:t>
            </w:r>
          </w:p>
        </w:tc>
        <w:tc>
          <w:tcPr>
            <w:tcW w:type="pct" w:w="33%"/>
            <w:tcMar>
              <w:top w:type="dxa" w:w="70"/>
              <w:left w:type="dxa" w:w="110"/>
              <w:bottom w:type="dxa" w:w="70"/>
              <w:right w:type="dxa" w:w="110"/>
            </w:tcMar>
          </w:tcPr>
          <w:p>
            <w:pPr>
              <w:spacing w:after="0" w:before="0"/>
              <w:jc w:val="left"/>
            </w:pPr>
            <w:r>
              <w:rPr>
                <w:sz w:val="22"/>
                <w:szCs w:val="22"/>
              </w:rPr>
              <w:t xml:space="preserve">Red break-glass push type</w:t>
            </w:r>
          </w:p>
        </w:tc>
        <w:tc>
          <w:tcPr>
            <w:tcW w:type="pct" w:w="33%"/>
            <w:tcMar>
              <w:top w:type="dxa" w:w="70"/>
              <w:left w:type="dxa" w:w="110"/>
              <w:bottom w:type="dxa" w:w="70"/>
              <w:right w:type="dxa" w:w="110"/>
            </w:tcMar>
          </w:tcPr>
          <w:p>
            <w:pPr>
              <w:spacing w:after="0" w:before="0"/>
              <w:jc w:val="left"/>
            </w:pPr>
            <w:r>
              <w:rPr>
                <w:sz w:val="22"/>
                <w:szCs w:val="22"/>
              </w:rPr>
              <w:t xml:space="preserve">NF EN 54-11</w:t>
            </w:r>
          </w:p>
        </w:tc>
      </w:tr>
      <w:tr>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Alarm sounders</w:t>
            </w:r>
          </w:p>
        </w:tc>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Electronic siren — 90 dB(A) at 1 m</w:t>
            </w:r>
          </w:p>
        </w:tc>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NF EN 54-3</w:t>
            </w:r>
          </w:p>
        </w:tc>
      </w:tr>
      <w:tr>
        <w:tc>
          <w:tcPr>
            <w:tcW w:type="pct" w:w="33%"/>
            <w:tcMar>
              <w:top w:type="dxa" w:w="70"/>
              <w:left w:type="dxa" w:w="110"/>
              <w:bottom w:type="dxa" w:w="70"/>
              <w:right w:type="dxa" w:w="110"/>
            </w:tcMar>
          </w:tcPr>
          <w:p>
            <w:pPr>
              <w:spacing w:after="0" w:before="0"/>
              <w:jc w:val="left"/>
            </w:pPr>
            <w:r>
              <w:rPr>
                <w:sz w:val="22"/>
                <w:szCs w:val="22"/>
              </w:rPr>
              <w:t xml:space="preserve">Repeat display panel</w:t>
            </w:r>
          </w:p>
        </w:tc>
        <w:tc>
          <w:tcPr>
            <w:tcW w:type="pct" w:w="33%"/>
            <w:tcMar>
              <w:top w:type="dxa" w:w="70"/>
              <w:left w:type="dxa" w:w="110"/>
              <w:bottom w:type="dxa" w:w="70"/>
              <w:right w:type="dxa" w:w="110"/>
            </w:tcMar>
          </w:tcPr>
          <w:p>
            <w:pPr>
              <w:spacing w:after="0" w:before="0"/>
              <w:jc w:val="left"/>
            </w:pPr>
            <w:r>
              <w:rPr>
                <w:sz w:val="22"/>
                <w:szCs w:val="22"/>
              </w:rPr>
              <w:t xml:space="preserve">Guard post + Manager's office</w:t>
            </w:r>
          </w:p>
        </w:tc>
        <w:tc>
          <w:tcPr>
            <w:tcW w:type="pct" w:w="33%"/>
            <w:tcMar>
              <w:top w:type="dxa" w:w="70"/>
              <w:left w:type="dxa" w:w="110"/>
              <w:bottom w:type="dxa" w:w="70"/>
              <w:right w:type="dxa" w:w="110"/>
            </w:tcMar>
          </w:tcPr>
          <w:p>
            <w:pPr>
              <w:spacing w:after="0" w:before="0"/>
              <w:jc w:val="left"/>
            </w:pPr>
            <w:r>
              <w:rPr>
                <w:sz w:val="22"/>
                <w:szCs w:val="22"/>
              </w:rPr>
              <w:t xml:space="preserve">NF EN 54-2</w:t>
            </w:r>
          </w:p>
        </w:tc>
      </w:tr>
      <w:tr>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Fire Safety Management System (FSMS)</w:t>
            </w:r>
          </w:p>
        </w:tc>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Controls smoke vents + CF doors + GPRS</w:t>
            </w:r>
          </w:p>
        </w:tc>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NF S 61-937</w:t>
            </w:r>
          </w:p>
        </w:tc>
      </w:tr>
      <w:tr>
        <w:tc>
          <w:tcPr>
            <w:tcW w:type="pct" w:w="33%"/>
            <w:tcMar>
              <w:top w:type="dxa" w:w="70"/>
              <w:left w:type="dxa" w:w="110"/>
              <w:bottom w:type="dxa" w:w="70"/>
              <w:right w:type="dxa" w:w="110"/>
            </w:tcMar>
          </w:tcPr>
          <w:p>
            <w:pPr>
              <w:spacing w:after="0" w:before="0"/>
              <w:jc w:val="left"/>
            </w:pPr>
            <w:r>
              <w:rPr>
                <w:sz w:val="22"/>
                <w:szCs w:val="22"/>
              </w:rPr>
              <w:t xml:space="preserve">Battery backup</w:t>
            </w:r>
          </w:p>
        </w:tc>
        <w:tc>
          <w:tcPr>
            <w:tcW w:type="pct" w:w="33%"/>
            <w:tcMar>
              <w:top w:type="dxa" w:w="70"/>
              <w:left w:type="dxa" w:w="110"/>
              <w:bottom w:type="dxa" w:w="70"/>
              <w:right w:type="dxa" w:w="110"/>
            </w:tcMar>
          </w:tcPr>
          <w:p>
            <w:pPr>
              <w:spacing w:after="0" w:before="0"/>
              <w:jc w:val="left"/>
            </w:pPr>
            <w:r>
              <w:rPr>
                <w:sz w:val="22"/>
                <w:szCs w:val="22"/>
              </w:rPr>
              <w:t xml:space="preserve">72 h autonomy (NF S 61-919 requires 24 h min.)</w:t>
            </w:r>
          </w:p>
        </w:tc>
        <w:tc>
          <w:tcPr>
            <w:tcW w:type="pct" w:w="33%"/>
            <w:tcMar>
              <w:top w:type="dxa" w:w="70"/>
              <w:left w:type="dxa" w:w="110"/>
              <w:bottom w:type="dxa" w:w="70"/>
              <w:right w:type="dxa" w:w="110"/>
            </w:tcMar>
          </w:tcPr>
          <w:p>
            <w:pPr>
              <w:spacing w:after="0" w:before="0"/>
              <w:jc w:val="left"/>
            </w:pPr>
            <w:r>
              <w:rPr>
                <w:sz w:val="22"/>
                <w:szCs w:val="22"/>
              </w:rPr>
              <w:t xml:space="preserve">NF S 61-919</w:t>
            </w:r>
          </w:p>
        </w:tc>
      </w:tr>
    </w:tbl>
    <w:p/>
    <w:p/>
    <w:p>
      <w:pPr>
        <w:pStyle w:val="Heading3"/>
      </w:pPr>
      <w:bookmarkStart w:name="nexia_h_106" w:id="1"/>
      <w:r>
        <w:rPr>
          <w:b/>
          <w:bCs/>
        </w:rPr>
        <w:t xml:space="preserve">1.5.2.  </w:t>
      </w:r>
      <w:r>
        <w:t xml:space="preserve">Detector Quantity Calculation</w:t>
      </w:r>
      <w:bookmarkEnd w:id="1"/>
    </w:p>
    <w:p/>
    <w:p>
      <w:pPr>
        <w:spacing w:after="120" w:line="320"/>
        <w:jc w:val="both"/>
      </w:pPr>
      <w:r>
        <w:rPr>
          <w:b/>
          <w:bCs/>
        </w:rPr>
        <w:t xml:space="preserve">Workshop 400 m² — clear height 6 m — flat ceiling:</w:t>
      </w:r>
    </w:p>
    <w:p/>
    <w:p>
      <w:pPr>
        <w:spacing w:after="120" w:line="320"/>
        <w:jc w:val="both"/>
      </w:pPr>
      <w:r>
        <w:t xml:space="preserve">According to </w:t>
      </w:r>
      <w:r>
        <w:rPr>
          <w:rFonts w:ascii="Courier New" w:cs="Courier New" w:eastAsia="Courier New" w:hAnsi="Courier New"/>
        </w:rPr>
        <w:t xml:space="preserve">NF S 61-919 §4.3</w:t>
      </w:r>
      <w:r>
        <w:t xml:space="preserve">, the maximum inter-detector spacing on a flat ceiling is derived from the rated coverage radius:</w:t>
      </w:r>
    </w:p>
    <w:p/>
    <w:p>
      <w:pPr>
        <w:spacing w:after="120" w:line="320"/>
        <w:jc w:val="both"/>
      </w:pPr>
      <w:r>
        <w:t xml:space="preserve">d_max = r_coverage × √(2) = 6,7 × 1,414 = 9,47 m</w:t>
      </w:r>
    </w:p>
    <w:p/>
    <w:p>
      <w:pPr>
        <w:spacing w:after="120" w:line="320"/>
        <w:jc w:val="both"/>
      </w:pPr>
      <w:r>
        <w:t xml:space="preserve">where:</w:t>
      </w:r>
    </w:p>
    <w:p>
      <w:pPr>
        <w:pStyle w:val="ListParagraph"/>
        <w:numPr>
          <w:ilvl w:val="0"/>
          <w:numId w:val="1"/>
        </w:numPr>
        <w:spacing w:line="300"/>
      </w:pPr>
      <w:r>
        <w:t xml:space="preserve">d_max — maximum permitted spacing between adjacent point detectors, in m</w:t>
      </w:r>
    </w:p>
    <w:p>
      <w:pPr>
        <w:pStyle w:val="ListParagraph"/>
        <w:numPr>
          <w:ilvl w:val="0"/>
          <w:numId w:val="1"/>
        </w:numPr>
        <w:spacing w:line="300"/>
      </w:pPr>
      <w:r>
        <w:t xml:space="preserve">r_coverage — rated coverage radius of point detector on flat ceiling = 6.7 m (NF S 61-919)</w:t>
      </w:r>
    </w:p>
    <w:p/>
    <w:p>
      <w:pPr>
        <w:spacing w:after="120" w:line="320"/>
        <w:jc w:val="both"/>
      </w:pPr>
      <w:r>
        <w:t xml:space="preserve">N_workshop = \lceil 20/(9,47) \rceil² = 3² = 9 detectors in a 3 × 3 uniform grid</w:t>
      </w:r>
    </w:p>
    <w:p/>
    <w:p>
      <w:pPr>
        <w:spacing w:after="120" w:line="320"/>
        <w:jc w:val="both"/>
      </w:pPr>
      <w:r>
        <w:t xml:space="preserve">where:</w:t>
      </w:r>
    </w:p>
    <w:p>
      <w:pPr>
        <w:pStyle w:val="ListParagraph"/>
        <w:numPr>
          <w:ilvl w:val="0"/>
          <w:numId w:val="1"/>
        </w:numPr>
        <w:spacing w:line="300"/>
      </w:pPr>
      <w:r>
        <w:t xml:space="preserve">N_workshop — minimum number of ceiling detectors for the workshop zone</w:t>
      </w:r>
    </w:p>
    <w:p/>
    <w:p>
      <w:pPr>
        <w:spacing w:after="120" w:line="320"/>
        <w:jc w:val="both"/>
      </w:pPr>
      <w:r>
        <w:rPr>
          <w:b/>
          <w:bCs/>
        </w:rPr>
        <w:t xml:space="preserve">Verification — inter-detector spacing achieved:</w:t>
      </w:r>
    </w:p>
    <w:p/>
    <w:p>
      <w:pPr>
        <w:spacing w:after="120" w:line="320"/>
        <w:jc w:val="both"/>
      </w:pPr>
      <w:r>
        <w:t xml:space="preserve">d_actual = 20/3 = 6,67 m &lt; d_max = 9,47 m ✓</w:t>
      </w:r>
    </w:p>
    <w:p/>
    <w:p>
      <w:pPr>
        <w:spacing w:after="120" w:line="320"/>
        <w:jc w:val="both"/>
      </w:pPr>
      <w:r>
        <w:rPr>
          <w:b/>
          <w:bCs/>
        </w:rPr>
        <w:t xml:space="preserve">Complete detector schedule — all zones:</w:t>
      </w:r>
    </w:p>
    <w:p/>
    <w:tbl>
      <w:tblPr>
        <w:tblW w:type="pct" w:w="100%"/>
        <w:tblBorders>
          <w:top w:val="single" w:color="BFBFBF" w:sz="6"/>
          <w:left w:val="single" w:color="BFBFBF" w:sz="6"/>
          <w:bottom w:val="single" w:color="BFBFBF" w:sz="6"/>
          <w:right w:val="single" w:color="BFBFBF" w:sz="6"/>
          <w:insideH w:val="single" w:color="BFBFBF" w:sz="6"/>
          <w:insideV w:val="single" w:color="BFBFBF" w:sz="6"/>
        </w:tblBorders>
      </w:tblPr>
      <w:tblGrid>
        <w:gridCol w:w="100"/>
        <w:gridCol w:w="100"/>
        <w:gridCol w:w="100"/>
        <w:gridCol w:w="100"/>
      </w:tblGrid>
      <w:tr>
        <w:trPr>
          <w:tblHeader/>
        </w:trPr>
        <w:tc>
          <w:tcPr>
            <w:tcW w:type="pct" w:w="25%"/>
            <w:shd w:fill="1A1F2E" w:color="auto" w:val="clear"/>
            <w:tcMar>
              <w:top w:type="dxa" w:w="100"/>
              <w:left w:type="dxa" w:w="110"/>
              <w:bottom w:type="dxa" w:w="100"/>
              <w:right w:type="dxa" w:w="110"/>
            </w:tcMar>
          </w:tcPr>
          <w:p>
            <w:pPr>
              <w:spacing w:after="0" w:before="0"/>
              <w:jc w:val="left"/>
            </w:pPr>
            <w:r>
              <w:rPr>
                <w:b/>
                <w:bCs/>
                <w:color w:val="FFFFFF"/>
                <w:sz w:val="22"/>
                <w:szCs w:val="22"/>
              </w:rPr>
              <w:t xml:space="preserve">Zone</w:t>
            </w:r>
          </w:p>
        </w:tc>
        <w:tc>
          <w:tcPr>
            <w:tcW w:type="pct" w:w="25%"/>
            <w:shd w:fill="1A1F2E" w:color="auto" w:val="clear"/>
            <w:tcMar>
              <w:top w:type="dxa" w:w="100"/>
              <w:left w:type="dxa" w:w="110"/>
              <w:bottom w:type="dxa" w:w="100"/>
              <w:right w:type="dxa" w:w="110"/>
            </w:tcMar>
          </w:tcPr>
          <w:p>
            <w:pPr>
              <w:spacing w:after="0" w:before="0"/>
              <w:jc w:val="left"/>
            </w:pPr>
            <w:r>
              <w:rPr>
                <w:b/>
                <w:bCs/>
                <w:color w:val="FFFFFF"/>
                <w:sz w:val="22"/>
                <w:szCs w:val="22"/>
              </w:rPr>
              <w:t xml:space="preserve">Detector type</w:t>
            </w:r>
          </w:p>
        </w:tc>
        <w:tc>
          <w:tcPr>
            <w:tcW w:type="pct" w:w="25%"/>
            <w:shd w:fill="1A1F2E" w:color="auto" w:val="clear"/>
            <w:tcMar>
              <w:top w:type="dxa" w:w="100"/>
              <w:left w:type="dxa" w:w="110"/>
              <w:bottom w:type="dxa" w:w="100"/>
              <w:right w:type="dxa" w:w="110"/>
            </w:tcMar>
          </w:tcPr>
          <w:p>
            <w:pPr>
              <w:spacing w:after="0" w:before="0"/>
              <w:jc w:val="right"/>
            </w:pPr>
            <w:r>
              <w:rPr>
                <w:b/>
                <w:bCs/>
                <w:color w:val="FFFFFF"/>
                <w:sz w:val="22"/>
                <w:szCs w:val="22"/>
              </w:rPr>
              <w:t xml:space="preserve">Quantity</w:t>
            </w:r>
          </w:p>
        </w:tc>
        <w:tc>
          <w:tcPr>
            <w:tcW w:type="pct" w:w="25%"/>
            <w:shd w:fill="1A1F2E" w:color="auto" w:val="clear"/>
            <w:tcMar>
              <w:top w:type="dxa" w:w="100"/>
              <w:left w:type="dxa" w:w="110"/>
              <w:bottom w:type="dxa" w:w="100"/>
              <w:right w:type="dxa" w:w="110"/>
            </w:tcMar>
          </w:tcPr>
          <w:p>
            <w:pPr>
              <w:spacing w:after="0" w:before="0"/>
              <w:jc w:val="left"/>
            </w:pPr>
            <w:r>
              <w:rPr>
                <w:b/>
                <w:bCs/>
                <w:color w:val="FFFFFF"/>
                <w:sz w:val="22"/>
                <w:szCs w:val="22"/>
              </w:rPr>
              <w:t xml:space="preserve">Grid spacing</w:t>
            </w:r>
          </w:p>
        </w:tc>
      </w:tr>
      <w:tr>
        <w:tc>
          <w:tcPr>
            <w:tcW w:type="pct" w:w="25%"/>
            <w:tcMar>
              <w:top w:type="dxa" w:w="70"/>
              <w:left w:type="dxa" w:w="110"/>
              <w:bottom w:type="dxa" w:w="70"/>
              <w:right w:type="dxa" w:w="110"/>
            </w:tcMar>
          </w:tcPr>
          <w:p>
            <w:pPr>
              <w:spacing w:after="0" w:before="0"/>
              <w:jc w:val="left"/>
            </w:pPr>
            <w:r>
              <w:rPr>
                <w:sz w:val="22"/>
                <w:szCs w:val="22"/>
              </w:rPr>
              <w:t xml:space="preserve">Workshop — ceiling h = 6 m</w:t>
            </w:r>
          </w:p>
        </w:tc>
        <w:tc>
          <w:tcPr>
            <w:tcW w:type="pct" w:w="25%"/>
            <w:tcMar>
              <w:top w:type="dxa" w:w="70"/>
              <w:left w:type="dxa" w:w="110"/>
              <w:bottom w:type="dxa" w:w="70"/>
              <w:right w:type="dxa" w:w="110"/>
            </w:tcMar>
          </w:tcPr>
          <w:p>
            <w:pPr>
              <w:spacing w:after="0" w:before="0"/>
              <w:jc w:val="left"/>
            </w:pPr>
            <w:r>
              <w:rPr>
                <w:sz w:val="22"/>
                <w:szCs w:val="22"/>
              </w:rPr>
              <w:t xml:space="preserve">Multi-sensor optical + thermal</w:t>
            </w:r>
          </w:p>
        </w:tc>
        <w:tc>
          <w:tcPr>
            <w:tcW w:type="pct" w:w="25%"/>
            <w:tcMar>
              <w:top w:type="dxa" w:w="70"/>
              <w:left w:type="dxa" w:w="110"/>
              <w:bottom w:type="dxa" w:w="70"/>
              <w:right w:type="dxa" w:w="110"/>
            </w:tcMar>
          </w:tcPr>
          <w:p>
            <w:pPr>
              <w:spacing w:after="0" w:before="0"/>
              <w:jc w:val="right"/>
            </w:pPr>
            <w:r>
              <w:rPr>
                <w:sz w:val="22"/>
                <w:szCs w:val="22"/>
              </w:rPr>
              <w:t xml:space="preserve">9</w:t>
            </w:r>
          </w:p>
        </w:tc>
        <w:tc>
          <w:tcPr>
            <w:tcW w:type="pct" w:w="25%"/>
            <w:tcMar>
              <w:top w:type="dxa" w:w="70"/>
              <w:left w:type="dxa" w:w="110"/>
              <w:bottom w:type="dxa" w:w="70"/>
              <w:right w:type="dxa" w:w="110"/>
            </w:tcMar>
          </w:tcPr>
          <w:p>
            <w:pPr>
              <w:spacing w:after="0" w:before="0"/>
              <w:jc w:val="left"/>
            </w:pPr>
            <w:r>
              <w:rPr>
                <w:sz w:val="22"/>
                <w:szCs w:val="22"/>
              </w:rPr>
              <w:t xml:space="preserve">6.5 × 6.5 m</w:t>
            </w:r>
          </w:p>
        </w:tc>
      </w:tr>
      <w:tr>
        <w:tc>
          <w:tcPr>
            <w:tcW w:type="pct" w:w="25%"/>
            <w:shd w:fill="FAF7F2" w:color="auto" w:val="clear"/>
            <w:tcMar>
              <w:top w:type="dxa" w:w="70"/>
              <w:left w:type="dxa" w:w="110"/>
              <w:bottom w:type="dxa" w:w="70"/>
              <w:right w:type="dxa" w:w="110"/>
            </w:tcMar>
          </w:tcPr>
          <w:p>
            <w:pPr>
              <w:spacing w:after="0" w:before="0"/>
              <w:jc w:val="left"/>
            </w:pPr>
            <w:r>
              <w:rPr>
                <w:sz w:val="22"/>
                <w:szCs w:val="22"/>
              </w:rPr>
              <w:t xml:space="preserve">Timber storage area</w:t>
            </w:r>
          </w:p>
        </w:tc>
        <w:tc>
          <w:tcPr>
            <w:tcW w:type="pct" w:w="25%"/>
            <w:shd w:fill="FAF7F2" w:color="auto" w:val="clear"/>
            <w:tcMar>
              <w:top w:type="dxa" w:w="70"/>
              <w:left w:type="dxa" w:w="110"/>
              <w:bottom w:type="dxa" w:w="70"/>
              <w:right w:type="dxa" w:w="110"/>
            </w:tcMar>
          </w:tcPr>
          <w:p>
            <w:pPr>
              <w:spacing w:after="0" w:before="0"/>
              <w:jc w:val="left"/>
            </w:pPr>
            <w:r>
              <w:rPr>
                <w:sz w:val="22"/>
                <w:szCs w:val="22"/>
              </w:rPr>
              <w:t xml:space="preserve">Multi-sensor optical + thermal</w:t>
            </w:r>
          </w:p>
        </w:tc>
        <w:tc>
          <w:tcPr>
            <w:tcW w:type="pct" w:w="25%"/>
            <w:shd w:fill="FAF7F2" w:color="auto" w:val="clear"/>
            <w:tcMar>
              <w:top w:type="dxa" w:w="70"/>
              <w:left w:type="dxa" w:w="110"/>
              <w:bottom w:type="dxa" w:w="70"/>
              <w:right w:type="dxa" w:w="110"/>
            </w:tcMar>
          </w:tcPr>
          <w:p>
            <w:pPr>
              <w:spacing w:after="0" w:before="0"/>
              <w:jc w:val="right"/>
            </w:pPr>
            <w:r>
              <w:rPr>
                <w:sz w:val="22"/>
                <w:szCs w:val="22"/>
              </w:rPr>
              <w:t xml:space="preserve">4</w:t>
            </w:r>
          </w:p>
        </w:tc>
        <w:tc>
          <w:tcPr>
            <w:tcW w:type="pct" w:w="25%"/>
            <w:shd w:fill="FAF7F2" w:color="auto" w:val="clear"/>
            <w:tcMar>
              <w:top w:type="dxa" w:w="70"/>
              <w:left w:type="dxa" w:w="110"/>
              <w:bottom w:type="dxa" w:w="70"/>
              <w:right w:type="dxa" w:w="110"/>
            </w:tcMar>
          </w:tcPr>
          <w:p>
            <w:pPr>
              <w:spacing w:after="0" w:before="0"/>
              <w:jc w:val="left"/>
            </w:pPr>
            <w:r>
              <w:rPr>
                <w:sz w:val="22"/>
                <w:szCs w:val="22"/>
              </w:rPr>
              <w:t xml:space="preserve">4 × 4 m</w:t>
            </w:r>
          </w:p>
        </w:tc>
      </w:tr>
      <w:tr>
        <w:tc>
          <w:tcPr>
            <w:tcW w:type="pct" w:w="25%"/>
            <w:tcMar>
              <w:top w:type="dxa" w:w="70"/>
              <w:left w:type="dxa" w:w="110"/>
              <w:bottom w:type="dxa" w:w="70"/>
              <w:right w:type="dxa" w:w="110"/>
            </w:tcMar>
          </w:tcPr>
          <w:p>
            <w:pPr>
              <w:spacing w:after="0" w:before="0"/>
              <w:jc w:val="left"/>
            </w:pPr>
            <w:r>
              <w:rPr>
                <w:sz w:val="22"/>
                <w:szCs w:val="22"/>
              </w:rPr>
              <w:t xml:space="preserve">Varnishing / painting booth</w:t>
            </w:r>
          </w:p>
        </w:tc>
        <w:tc>
          <w:tcPr>
            <w:tcW w:type="pct" w:w="25%"/>
            <w:tcMar>
              <w:top w:type="dxa" w:w="70"/>
              <w:left w:type="dxa" w:w="110"/>
              <w:bottom w:type="dxa" w:w="70"/>
              <w:right w:type="dxa" w:w="110"/>
            </w:tcMar>
          </w:tcPr>
          <w:p>
            <w:pPr>
              <w:spacing w:after="0" w:before="0"/>
              <w:jc w:val="left"/>
            </w:pPr>
            <w:r>
              <w:rPr>
                <w:sz w:val="22"/>
                <w:szCs w:val="22"/>
              </w:rPr>
              <w:t xml:space="preserve">VOC gas detector</w:t>
            </w:r>
          </w:p>
        </w:tc>
        <w:tc>
          <w:tcPr>
            <w:tcW w:type="pct" w:w="25%"/>
            <w:tcMar>
              <w:top w:type="dxa" w:w="70"/>
              <w:left w:type="dxa" w:w="110"/>
              <w:bottom w:type="dxa" w:w="70"/>
              <w:right w:type="dxa" w:w="110"/>
            </w:tcMar>
          </w:tcPr>
          <w:p>
            <w:pPr>
              <w:spacing w:after="0" w:before="0"/>
              <w:jc w:val="right"/>
            </w:pPr>
            <w:r>
              <w:rPr>
                <w:sz w:val="22"/>
                <w:szCs w:val="22"/>
              </w:rPr>
              <w:t xml:space="preserve">2</w:t>
            </w:r>
          </w:p>
        </w:tc>
        <w:tc>
          <w:tcPr>
            <w:tcW w:type="pct" w:w="25%"/>
            <w:tcMar>
              <w:top w:type="dxa" w:w="70"/>
              <w:left w:type="dxa" w:w="110"/>
              <w:bottom w:type="dxa" w:w="70"/>
              <w:right w:type="dxa" w:w="110"/>
            </w:tcMar>
          </w:tcPr>
          <w:p>
            <w:pPr>
              <w:spacing w:after="0" w:before="0"/>
              <w:jc w:val="left"/>
            </w:pPr>
            <w:r>
              <w:rPr>
                <w:sz w:val="22"/>
                <w:szCs w:val="22"/>
              </w:rPr>
              <w:t xml:space="preserve">Per manufacturer</w:t>
            </w:r>
          </w:p>
        </w:tc>
      </w:tr>
      <w:tr>
        <w:tc>
          <w:tcPr>
            <w:tcW w:type="pct" w:w="25%"/>
            <w:shd w:fill="FAF7F2" w:color="auto" w:val="clear"/>
            <w:tcMar>
              <w:top w:type="dxa" w:w="70"/>
              <w:left w:type="dxa" w:w="110"/>
              <w:bottom w:type="dxa" w:w="70"/>
              <w:right w:type="dxa" w:w="110"/>
            </w:tcMar>
          </w:tcPr>
          <w:p>
            <w:pPr>
              <w:spacing w:after="0" w:before="0"/>
              <w:jc w:val="left"/>
            </w:pPr>
            <w:r>
              <w:rPr>
                <w:sz w:val="22"/>
                <w:szCs w:val="22"/>
              </w:rPr>
              <w:t xml:space="preserve">Showroom (200 m²)</w:t>
            </w:r>
          </w:p>
        </w:tc>
        <w:tc>
          <w:tcPr>
            <w:tcW w:type="pct" w:w="25%"/>
            <w:shd w:fill="FAF7F2" w:color="auto" w:val="clear"/>
            <w:tcMar>
              <w:top w:type="dxa" w:w="70"/>
              <w:left w:type="dxa" w:w="110"/>
              <w:bottom w:type="dxa" w:w="70"/>
              <w:right w:type="dxa" w:w="110"/>
            </w:tcMar>
          </w:tcPr>
          <w:p>
            <w:pPr>
              <w:spacing w:after="0" w:before="0"/>
              <w:jc w:val="left"/>
            </w:pPr>
            <w:r>
              <w:rPr>
                <w:sz w:val="22"/>
                <w:szCs w:val="22"/>
              </w:rPr>
              <w:t xml:space="preserve">Optical smoke</w:t>
            </w:r>
          </w:p>
        </w:tc>
        <w:tc>
          <w:tcPr>
            <w:tcW w:type="pct" w:w="25%"/>
            <w:shd w:fill="FAF7F2" w:color="auto" w:val="clear"/>
            <w:tcMar>
              <w:top w:type="dxa" w:w="70"/>
              <w:left w:type="dxa" w:w="110"/>
              <w:bottom w:type="dxa" w:w="70"/>
              <w:right w:type="dxa" w:w="110"/>
            </w:tcMar>
          </w:tcPr>
          <w:p>
            <w:pPr>
              <w:spacing w:after="0" w:before="0"/>
              <w:jc w:val="right"/>
            </w:pPr>
            <w:r>
              <w:rPr>
                <w:sz w:val="22"/>
                <w:szCs w:val="22"/>
              </w:rPr>
              <w:t xml:space="preserve">6</w:t>
            </w:r>
          </w:p>
        </w:tc>
        <w:tc>
          <w:tcPr>
            <w:tcW w:type="pct" w:w="25%"/>
            <w:shd w:fill="FAF7F2" w:color="auto" w:val="clear"/>
            <w:tcMar>
              <w:top w:type="dxa" w:w="70"/>
              <w:left w:type="dxa" w:w="110"/>
              <w:bottom w:type="dxa" w:w="70"/>
              <w:right w:type="dxa" w:w="110"/>
            </w:tcMar>
          </w:tcPr>
          <w:p>
            <w:pPr>
              <w:spacing w:after="0" w:before="0"/>
              <w:jc w:val="left"/>
            </w:pPr>
            <w:r>
              <w:rPr>
                <w:sz w:val="22"/>
                <w:szCs w:val="22"/>
              </w:rPr>
              <w:t xml:space="preserve">4 × 6 m</w:t>
            </w:r>
          </w:p>
        </w:tc>
      </w:tr>
      <w:tr>
        <w:tc>
          <w:tcPr>
            <w:tcW w:type="pct" w:w="25%"/>
            <w:tcMar>
              <w:top w:type="dxa" w:w="70"/>
              <w:left w:type="dxa" w:w="110"/>
              <w:bottom w:type="dxa" w:w="70"/>
              <w:right w:type="dxa" w:w="110"/>
            </w:tcMar>
          </w:tcPr>
          <w:p>
            <w:pPr>
              <w:spacing w:after="0" w:before="0"/>
              <w:jc w:val="left"/>
            </w:pPr>
            <w:r>
              <w:rPr>
                <w:sz w:val="22"/>
                <w:szCs w:val="22"/>
              </w:rPr>
              <w:t xml:space="preserve">Offices (2 rooms, 50 m²)</w:t>
            </w:r>
          </w:p>
        </w:tc>
        <w:tc>
          <w:tcPr>
            <w:tcW w:type="pct" w:w="25%"/>
            <w:tcMar>
              <w:top w:type="dxa" w:w="70"/>
              <w:left w:type="dxa" w:w="110"/>
              <w:bottom w:type="dxa" w:w="70"/>
              <w:right w:type="dxa" w:w="110"/>
            </w:tcMar>
          </w:tcPr>
          <w:p>
            <w:pPr>
              <w:spacing w:after="0" w:before="0"/>
              <w:jc w:val="left"/>
            </w:pPr>
            <w:r>
              <w:rPr>
                <w:sz w:val="22"/>
                <w:szCs w:val="22"/>
              </w:rPr>
              <w:t xml:space="preserve">Optical smoke</w:t>
            </w:r>
          </w:p>
        </w:tc>
        <w:tc>
          <w:tcPr>
            <w:tcW w:type="pct" w:w="25%"/>
            <w:tcMar>
              <w:top w:type="dxa" w:w="70"/>
              <w:left w:type="dxa" w:w="110"/>
              <w:bottom w:type="dxa" w:w="70"/>
              <w:right w:type="dxa" w:w="110"/>
            </w:tcMar>
          </w:tcPr>
          <w:p>
            <w:pPr>
              <w:spacing w:after="0" w:before="0"/>
              <w:jc w:val="right"/>
            </w:pPr>
            <w:r>
              <w:rPr>
                <w:sz w:val="22"/>
                <w:szCs w:val="22"/>
              </w:rPr>
              <w:t xml:space="preserve">4</w:t>
            </w:r>
          </w:p>
        </w:tc>
        <w:tc>
          <w:tcPr>
            <w:tcW w:type="pct" w:w="25%"/>
            <w:tcMar>
              <w:top w:type="dxa" w:w="70"/>
              <w:left w:type="dxa" w:w="110"/>
              <w:bottom w:type="dxa" w:w="70"/>
              <w:right w:type="dxa" w:w="110"/>
            </w:tcMar>
          </w:tcPr>
          <w:p>
            <w:pPr>
              <w:spacing w:after="0" w:before="0"/>
              <w:jc w:val="left"/>
            </w:pPr>
            <w:r>
              <w:rPr>
                <w:sz w:val="22"/>
                <w:szCs w:val="22"/>
              </w:rPr>
              <w:t xml:space="preserve">3 × 4 m</w:t>
            </w:r>
          </w:p>
        </w:tc>
      </w:tr>
      <w:tr>
        <w:tc>
          <w:tcPr>
            <w:tcW w:type="pct" w:w="25%"/>
            <w:shd w:fill="FAF7F2" w:color="auto" w:val="clear"/>
            <w:tcMar>
              <w:top w:type="dxa" w:w="70"/>
              <w:left w:type="dxa" w:w="110"/>
              <w:bottom w:type="dxa" w:w="70"/>
              <w:right w:type="dxa" w:w="110"/>
            </w:tcMar>
          </w:tcPr>
          <w:p>
            <w:pPr>
              <w:spacing w:after="0" w:before="0"/>
              <w:jc w:val="left"/>
            </w:pPr>
            <w:r>
              <w:rPr>
                <w:sz w:val="22"/>
                <w:szCs w:val="22"/>
              </w:rPr>
              <w:t xml:space="preserve">HTA substation (12 m²)</w:t>
            </w:r>
          </w:p>
        </w:tc>
        <w:tc>
          <w:tcPr>
            <w:tcW w:type="pct" w:w="25%"/>
            <w:shd w:fill="FAF7F2" w:color="auto" w:val="clear"/>
            <w:tcMar>
              <w:top w:type="dxa" w:w="70"/>
              <w:left w:type="dxa" w:w="110"/>
              <w:bottom w:type="dxa" w:w="70"/>
              <w:right w:type="dxa" w:w="110"/>
            </w:tcMar>
          </w:tcPr>
          <w:p>
            <w:pPr>
              <w:spacing w:after="0" w:before="0"/>
              <w:jc w:val="left"/>
            </w:pPr>
            <w:r>
              <w:rPr>
                <w:sz w:val="22"/>
                <w:szCs w:val="22"/>
              </w:rPr>
              <w:t xml:space="preserve">Optical smoke + heat — dual</w:t>
            </w:r>
          </w:p>
        </w:tc>
        <w:tc>
          <w:tcPr>
            <w:tcW w:type="pct" w:w="25%"/>
            <w:shd w:fill="FAF7F2" w:color="auto" w:val="clear"/>
            <w:tcMar>
              <w:top w:type="dxa" w:w="70"/>
              <w:left w:type="dxa" w:w="110"/>
              <w:bottom w:type="dxa" w:w="70"/>
              <w:right w:type="dxa" w:w="110"/>
            </w:tcMar>
          </w:tcPr>
          <w:p>
            <w:pPr>
              <w:spacing w:after="0" w:before="0"/>
              <w:jc w:val="right"/>
            </w:pPr>
            <w:r>
              <w:rPr>
                <w:sz w:val="22"/>
                <w:szCs w:val="22"/>
              </w:rPr>
              <w:t xml:space="preserve">2</w:t>
            </w:r>
          </w:p>
        </w:tc>
        <w:tc>
          <w:tcPr>
            <w:tcW w:type="pct" w:w="25%"/>
            <w:shd w:fill="FAF7F2" w:color="auto" w:val="clear"/>
            <w:tcMar>
              <w:top w:type="dxa" w:w="70"/>
              <w:left w:type="dxa" w:w="110"/>
              <w:bottom w:type="dxa" w:w="70"/>
              <w:right w:type="dxa" w:w="110"/>
            </w:tcMar>
          </w:tcPr>
          <w:p>
            <w:pPr>
              <w:spacing w:after="0" w:before="0"/>
              <w:jc w:val="left"/>
            </w:pPr>
            <w:r>
              <w:rPr>
                <w:sz w:val="22"/>
                <w:szCs w:val="22"/>
              </w:rPr>
              <w:t xml:space="preserve">—</w:t>
            </w:r>
          </w:p>
        </w:tc>
      </w:tr>
      <w:tr>
        <w:tc>
          <w:tcPr>
            <w:tcW w:type="pct" w:w="25%"/>
            <w:tcMar>
              <w:top w:type="dxa" w:w="70"/>
              <w:left w:type="dxa" w:w="110"/>
              <w:bottom w:type="dxa" w:w="70"/>
              <w:right w:type="dxa" w:w="110"/>
            </w:tcMar>
          </w:tcPr>
          <w:p>
            <w:pPr>
              <w:spacing w:after="0" w:before="0"/>
              <w:jc w:val="left"/>
            </w:pPr>
            <w:r>
              <w:rPr>
                <w:sz w:val="22"/>
                <w:szCs w:val="22"/>
              </w:rPr>
              <w:t xml:space="preserve">Guard post + corridors</w:t>
            </w:r>
          </w:p>
        </w:tc>
        <w:tc>
          <w:tcPr>
            <w:tcW w:type="pct" w:w="25%"/>
            <w:tcMar>
              <w:top w:type="dxa" w:w="70"/>
              <w:left w:type="dxa" w:w="110"/>
              <w:bottom w:type="dxa" w:w="70"/>
              <w:right w:type="dxa" w:w="110"/>
            </w:tcMar>
          </w:tcPr>
          <w:p>
            <w:pPr>
              <w:spacing w:after="0" w:before="0"/>
              <w:jc w:val="left"/>
            </w:pPr>
            <w:r>
              <w:rPr>
                <w:sz w:val="22"/>
                <w:szCs w:val="22"/>
              </w:rPr>
              <w:t xml:space="preserve">Optical smoke</w:t>
            </w:r>
          </w:p>
        </w:tc>
        <w:tc>
          <w:tcPr>
            <w:tcW w:type="pct" w:w="25%"/>
            <w:tcMar>
              <w:top w:type="dxa" w:w="70"/>
              <w:left w:type="dxa" w:w="110"/>
              <w:bottom w:type="dxa" w:w="70"/>
              <w:right w:type="dxa" w:w="110"/>
            </w:tcMar>
          </w:tcPr>
          <w:p>
            <w:pPr>
              <w:spacing w:after="0" w:before="0"/>
              <w:jc w:val="right"/>
            </w:pPr>
            <w:r>
              <w:rPr>
                <w:sz w:val="22"/>
                <w:szCs w:val="22"/>
              </w:rPr>
              <w:t xml:space="preserve">3</w:t>
            </w:r>
          </w:p>
        </w:tc>
        <w:tc>
          <w:tcPr>
            <w:tcW w:type="pct" w:w="25%"/>
            <w:tcMar>
              <w:top w:type="dxa" w:w="70"/>
              <w:left w:type="dxa" w:w="110"/>
              <w:bottom w:type="dxa" w:w="70"/>
              <w:right w:type="dxa" w:w="110"/>
            </w:tcMar>
          </w:tcPr>
          <w:p>
            <w:pPr>
              <w:spacing w:after="0" w:before="0"/>
              <w:jc w:val="left"/>
            </w:pPr>
            <w:r>
              <w:rPr>
                <w:sz w:val="22"/>
                <w:szCs w:val="22"/>
              </w:rPr>
              <w:t xml:space="preserve">≤ 8 m</w:t>
            </w:r>
          </w:p>
        </w:tc>
      </w:tr>
      <w:tr>
        <w:tc>
          <w:tcPr>
            <w:tcW w:type="pct" w:w="25%"/>
            <w:shd w:fill="FAF7F2" w:color="auto" w:val="clear"/>
            <w:tcMar>
              <w:top w:type="dxa" w:w="70"/>
              <w:left w:type="dxa" w:w="110"/>
              <w:bottom w:type="dxa" w:w="70"/>
              <w:right w:type="dxa" w:w="110"/>
            </w:tcMar>
          </w:tcPr>
          <w:p>
            <w:pPr>
              <w:spacing w:after="0" w:before="0"/>
              <w:jc w:val="left"/>
            </w:pPr>
            <w:r>
              <w:rPr>
                <w:sz w:val="22"/>
                <w:szCs w:val="22"/>
              </w:rPr>
              <w:t xml:space="preserve">TOTAL DETECTORS</w:t>
            </w:r>
          </w:p>
        </w:tc>
        <w:tc>
          <w:tcPr>
            <w:tcW w:type="pct" w:w="25%"/>
            <w:shd w:fill="FAF7F2" w:color="auto" w:val="clear"/>
            <w:tcMar>
              <w:top w:type="dxa" w:w="70"/>
              <w:left w:type="dxa" w:w="110"/>
              <w:bottom w:type="dxa" w:w="70"/>
              <w:right w:type="dxa" w:w="110"/>
            </w:tcMar>
          </w:tcPr>
          <w:p>
            <w:pPr>
              <w:spacing w:after="0" w:before="0"/>
              <w:jc w:val="left"/>
            </w:pPr>
            <w:r>
              <w:rPr>
                <w:sz w:val="22"/>
                <w:szCs w:val="22"/>
              </w:rPr>
              <w:t xml:space="preserve"/>
            </w:r>
          </w:p>
        </w:tc>
        <w:tc>
          <w:tcPr>
            <w:tcW w:type="pct" w:w="25%"/>
            <w:shd w:fill="FAF7F2" w:color="auto" w:val="clear"/>
            <w:tcMar>
              <w:top w:type="dxa" w:w="70"/>
              <w:left w:type="dxa" w:w="110"/>
              <w:bottom w:type="dxa" w:w="70"/>
              <w:right w:type="dxa" w:w="110"/>
            </w:tcMar>
          </w:tcPr>
          <w:p>
            <w:pPr>
              <w:spacing w:after="0" w:before="0"/>
              <w:jc w:val="right"/>
            </w:pPr>
            <w:r>
              <w:rPr>
                <w:sz w:val="22"/>
                <w:szCs w:val="22"/>
              </w:rPr>
              <w:t xml:space="preserve">30</w:t>
            </w:r>
          </w:p>
        </w:tc>
        <w:tc>
          <w:tcPr>
            <w:tcW w:type="pct" w:w="25%"/>
            <w:shd w:fill="FAF7F2" w:color="auto" w:val="clear"/>
            <w:tcMar>
              <w:top w:type="dxa" w:w="70"/>
              <w:left w:type="dxa" w:w="110"/>
              <w:bottom w:type="dxa" w:w="70"/>
              <w:right w:type="dxa" w:w="110"/>
            </w:tcMar>
          </w:tcPr>
          <w:p>
            <w:pPr>
              <w:spacing w:after="0" w:before="0"/>
              <w:jc w:val="left"/>
            </w:pPr>
            <w:r>
              <w:rPr>
                <w:sz w:val="22"/>
                <w:szCs w:val="22"/>
              </w:rPr>
              <w:t xml:space="preserve"/>
            </w:r>
          </w:p>
        </w:tc>
      </w:tr>
    </w:tbl>
    <w:p/>
    <w:p/>
    <w:p>
      <w:pPr>
        <w:spacing w:after="120" w:line="320"/>
        <w:jc w:val="both"/>
      </w:pPr>
      <w:r>
        <w:rPr>
          <w:b/>
          <w:bCs/>
        </w:rPr>
        <w:t xml:space="preserve">Manual Call Points (MCP) — break-glass:</w:t>
      </w:r>
    </w:p>
    <w:p/>
    <w:tbl>
      <w:tblPr>
        <w:tblW w:type="pct" w:w="100%"/>
        <w:tblBorders>
          <w:top w:val="single" w:color="BFBFBF" w:sz="6"/>
          <w:left w:val="single" w:color="BFBFBF" w:sz="6"/>
          <w:bottom w:val="single" w:color="BFBFBF" w:sz="6"/>
          <w:right w:val="single" w:color="BFBFBF" w:sz="6"/>
          <w:insideH w:val="single" w:color="BFBFBF" w:sz="6"/>
          <w:insideV w:val="single" w:color="BFBFBF" w:sz="6"/>
        </w:tblBorders>
      </w:tblPr>
      <w:tblGrid>
        <w:gridCol w:w="100"/>
        <w:gridCol w:w="100"/>
      </w:tblGrid>
      <w:tr>
        <w:trPr>
          <w:tblHeader/>
        </w:trPr>
        <w:tc>
          <w:tcPr>
            <w:tcW w:type="pct" w:w="50%"/>
            <w:shd w:fill="1A1F2E" w:color="auto" w:val="clear"/>
            <w:tcMar>
              <w:top w:type="dxa" w:w="100"/>
              <w:left w:type="dxa" w:w="110"/>
              <w:bottom w:type="dxa" w:w="100"/>
              <w:right w:type="dxa" w:w="110"/>
            </w:tcMar>
          </w:tcPr>
          <w:p>
            <w:pPr>
              <w:spacing w:after="0" w:before="0"/>
              <w:jc w:val="left"/>
            </w:pPr>
            <w:r>
              <w:rPr>
                <w:b/>
                <w:bCs/>
                <w:color w:val="FFFFFF"/>
                <w:sz w:val="22"/>
                <w:szCs w:val="22"/>
              </w:rPr>
              <w:t xml:space="preserve">Location</w:t>
            </w:r>
          </w:p>
        </w:tc>
        <w:tc>
          <w:tcPr>
            <w:tcW w:type="pct" w:w="50%"/>
            <w:shd w:fill="1A1F2E" w:color="auto" w:val="clear"/>
            <w:tcMar>
              <w:top w:type="dxa" w:w="100"/>
              <w:left w:type="dxa" w:w="110"/>
              <w:bottom w:type="dxa" w:w="100"/>
              <w:right w:type="dxa" w:w="110"/>
            </w:tcMar>
          </w:tcPr>
          <w:p>
            <w:pPr>
              <w:spacing w:after="0" w:before="0"/>
              <w:jc w:val="right"/>
            </w:pPr>
            <w:r>
              <w:rPr>
                <w:b/>
                <w:bCs/>
                <w:color w:val="FFFFFF"/>
                <w:sz w:val="22"/>
                <w:szCs w:val="22"/>
              </w:rPr>
              <w:t xml:space="preserve">Quantity</w:t>
            </w:r>
          </w:p>
        </w:tc>
      </w:tr>
      <w:tr>
        <w:tc>
          <w:tcPr>
            <w:tcW w:type="pct" w:w="50%"/>
            <w:tcMar>
              <w:top w:type="dxa" w:w="70"/>
              <w:left w:type="dxa" w:w="110"/>
              <w:bottom w:type="dxa" w:w="70"/>
              <w:right w:type="dxa" w:w="110"/>
            </w:tcMar>
          </w:tcPr>
          <w:p>
            <w:pPr>
              <w:spacing w:after="0" w:before="0"/>
              <w:jc w:val="left"/>
            </w:pPr>
            <w:r>
              <w:rPr>
                <w:sz w:val="22"/>
                <w:szCs w:val="22"/>
              </w:rPr>
              <w:t xml:space="preserve">Workshop entrance — north elevation</w:t>
            </w:r>
          </w:p>
        </w:tc>
        <w:tc>
          <w:tcPr>
            <w:tcW w:type="pct" w:w="50%"/>
            <w:tcMar>
              <w:top w:type="dxa" w:w="70"/>
              <w:left w:type="dxa" w:w="110"/>
              <w:bottom w:type="dxa" w:w="70"/>
              <w:right w:type="dxa" w:w="110"/>
            </w:tcMar>
          </w:tcPr>
          <w:p>
            <w:pPr>
              <w:spacing w:after="0" w:before="0"/>
              <w:jc w:val="right"/>
            </w:pPr>
            <w:r>
              <w:rPr>
                <w:sz w:val="22"/>
                <w:szCs w:val="22"/>
              </w:rPr>
              <w:t xml:space="preserve">1</w:t>
            </w:r>
          </w:p>
        </w:tc>
      </w:tr>
      <w:tr>
        <w:tc>
          <w:tcPr>
            <w:tcW w:type="pct" w:w="50%"/>
            <w:shd w:fill="FAF7F2" w:color="auto" w:val="clear"/>
            <w:tcMar>
              <w:top w:type="dxa" w:w="70"/>
              <w:left w:type="dxa" w:w="110"/>
              <w:bottom w:type="dxa" w:w="70"/>
              <w:right w:type="dxa" w:w="110"/>
            </w:tcMar>
          </w:tcPr>
          <w:p>
            <w:pPr>
              <w:spacing w:after="0" w:before="0"/>
              <w:jc w:val="left"/>
            </w:pPr>
            <w:r>
              <w:rPr>
                <w:sz w:val="22"/>
                <w:szCs w:val="22"/>
              </w:rPr>
              <w:t xml:space="preserve">Workshop exit — south elevation</w:t>
            </w:r>
          </w:p>
        </w:tc>
        <w:tc>
          <w:tcPr>
            <w:tcW w:type="pct" w:w="50%"/>
            <w:shd w:fill="FAF7F2" w:color="auto" w:val="clear"/>
            <w:tcMar>
              <w:top w:type="dxa" w:w="70"/>
              <w:left w:type="dxa" w:w="110"/>
              <w:bottom w:type="dxa" w:w="70"/>
              <w:right w:type="dxa" w:w="110"/>
            </w:tcMar>
          </w:tcPr>
          <w:p>
            <w:pPr>
              <w:spacing w:after="0" w:before="0"/>
              <w:jc w:val="right"/>
            </w:pPr>
            <w:r>
              <w:rPr>
                <w:sz w:val="22"/>
                <w:szCs w:val="22"/>
              </w:rPr>
              <w:t xml:space="preserve">1</w:t>
            </w:r>
          </w:p>
        </w:tc>
      </w:tr>
      <w:tr>
        <w:tc>
          <w:tcPr>
            <w:tcW w:type="pct" w:w="50%"/>
            <w:tcMar>
              <w:top w:type="dxa" w:w="70"/>
              <w:left w:type="dxa" w:w="110"/>
              <w:bottom w:type="dxa" w:w="70"/>
              <w:right w:type="dxa" w:w="110"/>
            </w:tcMar>
          </w:tcPr>
          <w:p>
            <w:pPr>
              <w:spacing w:after="0" w:before="0"/>
              <w:jc w:val="left"/>
            </w:pPr>
            <w:r>
              <w:rPr>
                <w:sz w:val="22"/>
                <w:szCs w:val="22"/>
              </w:rPr>
              <w:t xml:space="preserve">Showroom main entrance</w:t>
            </w:r>
          </w:p>
        </w:tc>
        <w:tc>
          <w:tcPr>
            <w:tcW w:type="pct" w:w="50%"/>
            <w:tcMar>
              <w:top w:type="dxa" w:w="70"/>
              <w:left w:type="dxa" w:w="110"/>
              <w:bottom w:type="dxa" w:w="70"/>
              <w:right w:type="dxa" w:w="110"/>
            </w:tcMar>
          </w:tcPr>
          <w:p>
            <w:pPr>
              <w:spacing w:after="0" w:before="0"/>
              <w:jc w:val="right"/>
            </w:pPr>
            <w:r>
              <w:rPr>
                <w:sz w:val="22"/>
                <w:szCs w:val="22"/>
              </w:rPr>
              <w:t xml:space="preserve">1</w:t>
            </w:r>
          </w:p>
        </w:tc>
      </w:tr>
      <w:tr>
        <w:tc>
          <w:tcPr>
            <w:tcW w:type="pct" w:w="50%"/>
            <w:shd w:fill="FAF7F2" w:color="auto" w:val="clear"/>
            <w:tcMar>
              <w:top w:type="dxa" w:w="70"/>
              <w:left w:type="dxa" w:w="110"/>
              <w:bottom w:type="dxa" w:w="70"/>
              <w:right w:type="dxa" w:w="110"/>
            </w:tcMar>
          </w:tcPr>
          <w:p>
            <w:pPr>
              <w:spacing w:after="0" w:before="0"/>
              <w:jc w:val="left"/>
            </w:pPr>
            <w:r>
              <w:rPr>
                <w:sz w:val="22"/>
                <w:szCs w:val="22"/>
              </w:rPr>
              <w:t xml:space="preserve">Office corridor — level 0</w:t>
            </w:r>
          </w:p>
        </w:tc>
        <w:tc>
          <w:tcPr>
            <w:tcW w:type="pct" w:w="50%"/>
            <w:shd w:fill="FAF7F2" w:color="auto" w:val="clear"/>
            <w:tcMar>
              <w:top w:type="dxa" w:w="70"/>
              <w:left w:type="dxa" w:w="110"/>
              <w:bottom w:type="dxa" w:w="70"/>
              <w:right w:type="dxa" w:w="110"/>
            </w:tcMar>
          </w:tcPr>
          <w:p>
            <w:pPr>
              <w:spacing w:after="0" w:before="0"/>
              <w:jc w:val="right"/>
            </w:pPr>
            <w:r>
              <w:rPr>
                <w:sz w:val="22"/>
                <w:szCs w:val="22"/>
              </w:rPr>
              <w:t xml:space="preserve">1</w:t>
            </w:r>
          </w:p>
        </w:tc>
      </w:tr>
      <w:tr>
        <w:tc>
          <w:tcPr>
            <w:tcW w:type="pct" w:w="50%"/>
            <w:tcMar>
              <w:top w:type="dxa" w:w="70"/>
              <w:left w:type="dxa" w:w="110"/>
              <w:bottom w:type="dxa" w:w="70"/>
              <w:right w:type="dxa" w:w="110"/>
            </w:tcMar>
          </w:tcPr>
          <w:p>
            <w:pPr>
              <w:spacing w:after="0" w:before="0"/>
              <w:jc w:val="left"/>
            </w:pPr>
            <w:r>
              <w:rPr>
                <w:sz w:val="22"/>
                <w:szCs w:val="22"/>
              </w:rPr>
              <w:t xml:space="preserve">Guard post</w:t>
            </w:r>
          </w:p>
        </w:tc>
        <w:tc>
          <w:tcPr>
            <w:tcW w:type="pct" w:w="50%"/>
            <w:tcMar>
              <w:top w:type="dxa" w:w="70"/>
              <w:left w:type="dxa" w:w="110"/>
              <w:bottom w:type="dxa" w:w="70"/>
              <w:right w:type="dxa" w:w="110"/>
            </w:tcMar>
          </w:tcPr>
          <w:p>
            <w:pPr>
              <w:spacing w:after="0" w:before="0"/>
              <w:jc w:val="right"/>
            </w:pPr>
            <w:r>
              <w:rPr>
                <w:sz w:val="22"/>
                <w:szCs w:val="22"/>
              </w:rPr>
              <w:t xml:space="preserve">1</w:t>
            </w:r>
          </w:p>
        </w:tc>
      </w:tr>
      <w:tr>
        <w:tc>
          <w:tcPr>
            <w:tcW w:type="pct" w:w="50%"/>
            <w:shd w:fill="FAF7F2" w:color="auto" w:val="clear"/>
            <w:tcMar>
              <w:top w:type="dxa" w:w="70"/>
              <w:left w:type="dxa" w:w="110"/>
              <w:bottom w:type="dxa" w:w="70"/>
              <w:right w:type="dxa" w:w="110"/>
            </w:tcMar>
          </w:tcPr>
          <w:p>
            <w:pPr>
              <w:spacing w:after="0" w:before="0"/>
              <w:jc w:val="left"/>
            </w:pPr>
            <w:r>
              <w:rPr>
                <w:sz w:val="22"/>
                <w:szCs w:val="22"/>
              </w:rPr>
              <w:t xml:space="preserve">Total MCP</w:t>
            </w:r>
          </w:p>
        </w:tc>
        <w:tc>
          <w:tcPr>
            <w:tcW w:type="pct" w:w="50%"/>
            <w:shd w:fill="FAF7F2" w:color="auto" w:val="clear"/>
            <w:tcMar>
              <w:top w:type="dxa" w:w="70"/>
              <w:left w:type="dxa" w:w="110"/>
              <w:bottom w:type="dxa" w:w="70"/>
              <w:right w:type="dxa" w:w="110"/>
            </w:tcMar>
          </w:tcPr>
          <w:p>
            <w:pPr>
              <w:spacing w:after="0" w:before="0"/>
              <w:jc w:val="right"/>
            </w:pPr>
            <w:r>
              <w:rPr>
                <w:sz w:val="22"/>
                <w:szCs w:val="22"/>
              </w:rPr>
              <w:t xml:space="preserve">5</w:t>
            </w:r>
          </w:p>
        </w:tc>
      </w:tr>
    </w:tbl>
    <w:p/>
    <w:p/>
    <w:p>
      <w:pPr>
        <w:pStyle w:val="Heading3"/>
      </w:pPr>
      <w:bookmarkStart w:name="nexia_h_135" w:id="1"/>
      <w:r>
        <w:rPr>
          <w:b/>
          <w:bCs/>
        </w:rPr>
        <w:t xml:space="preserve">1.5.3.  </w:t>
      </w:r>
      <w:r>
        <w:t xml:space="preserve">Fire Detection Panel — Specifications</w:t>
      </w:r>
      <w:bookmarkEnd w:id="1"/>
    </w:p>
    <w:p/>
    <w:tbl>
      <w:tblPr>
        <w:tblW w:type="pct" w:w="100%"/>
        <w:tblBorders>
          <w:top w:val="single" w:color="BFBFBF" w:sz="6"/>
          <w:left w:val="single" w:color="BFBFBF" w:sz="6"/>
          <w:bottom w:val="single" w:color="BFBFBF" w:sz="6"/>
          <w:right w:val="single" w:color="BFBFBF" w:sz="6"/>
          <w:insideH w:val="single" w:color="BFBFBF" w:sz="6"/>
          <w:insideV w:val="single" w:color="BFBFBF" w:sz="6"/>
        </w:tblBorders>
      </w:tblPr>
      <w:tblGrid>
        <w:gridCol w:w="100"/>
        <w:gridCol w:w="100"/>
      </w:tblGrid>
      <w:tr>
        <w:trPr>
          <w:tblHeader/>
        </w:trPr>
        <w:tc>
          <w:tcPr>
            <w:tcW w:type="pct" w:w="50%"/>
            <w:shd w:fill="1A1F2E" w:color="auto" w:val="clear"/>
            <w:tcMar>
              <w:top w:type="dxa" w:w="100"/>
              <w:left w:type="dxa" w:w="110"/>
              <w:bottom w:type="dxa" w:w="100"/>
              <w:right w:type="dxa" w:w="110"/>
            </w:tcMar>
          </w:tcPr>
          <w:p>
            <w:pPr>
              <w:spacing w:after="0" w:before="0"/>
              <w:jc w:val="left"/>
            </w:pPr>
            <w:r>
              <w:rPr>
                <w:b/>
                <w:bCs/>
                <w:color w:val="FFFFFF"/>
                <w:sz w:val="22"/>
                <w:szCs w:val="22"/>
              </w:rPr>
              <w:t xml:space="preserve">Parameter</w:t>
            </w:r>
          </w:p>
        </w:tc>
        <w:tc>
          <w:tcPr>
            <w:tcW w:type="pct" w:w="50%"/>
            <w:shd w:fill="1A1F2E" w:color="auto" w:val="clear"/>
            <w:tcMar>
              <w:top w:type="dxa" w:w="100"/>
              <w:left w:type="dxa" w:w="110"/>
              <w:bottom w:type="dxa" w:w="100"/>
              <w:right w:type="dxa" w:w="110"/>
            </w:tcMar>
          </w:tcPr>
          <w:p>
            <w:pPr>
              <w:spacing w:after="0" w:before="0"/>
              <w:jc w:val="left"/>
            </w:pPr>
            <w:r>
              <w:rPr>
                <w:b/>
                <w:bCs/>
                <w:color w:val="FFFFFF"/>
                <w:sz w:val="22"/>
                <w:szCs w:val="22"/>
              </w:rPr>
              <w:t xml:space="preserve">Value</w:t>
            </w:r>
          </w:p>
        </w:tc>
      </w:tr>
      <w:tr>
        <w:tc>
          <w:tcPr>
            <w:tcW w:type="pct" w:w="50%"/>
            <w:tcMar>
              <w:top w:type="dxa" w:w="70"/>
              <w:left w:type="dxa" w:w="110"/>
              <w:bottom w:type="dxa" w:w="70"/>
              <w:right w:type="dxa" w:w="110"/>
            </w:tcMar>
          </w:tcPr>
          <w:p>
            <w:pPr>
              <w:spacing w:after="0" w:before="0"/>
              <w:jc w:val="left"/>
            </w:pPr>
            <w:r>
              <w:rPr>
                <w:sz w:val="22"/>
                <w:szCs w:val="22"/>
              </w:rPr>
              <w:t xml:space="preserve">Technology</w:t>
            </w:r>
          </w:p>
        </w:tc>
        <w:tc>
          <w:tcPr>
            <w:tcW w:type="pct" w:w="50%"/>
            <w:tcMar>
              <w:top w:type="dxa" w:w="70"/>
              <w:left w:type="dxa" w:w="110"/>
              <w:bottom w:type="dxa" w:w="70"/>
              <w:right w:type="dxa" w:w="110"/>
            </w:tcMar>
          </w:tcPr>
          <w:p>
            <w:pPr>
              <w:spacing w:after="0" w:before="0"/>
              <w:jc w:val="left"/>
            </w:pPr>
            <w:r>
              <w:rPr>
                <w:sz w:val="22"/>
                <w:szCs w:val="22"/>
              </w:rPr>
              <w:t xml:space="preserve">Addressable loop — each detector individually identified by address</w:t>
            </w:r>
          </w:p>
        </w:tc>
      </w:tr>
      <w:tr>
        <w:tc>
          <w:tcPr>
            <w:tcW w:type="pct" w:w="50%"/>
            <w:shd w:fill="FAF7F2" w:color="auto" w:val="clear"/>
            <w:tcMar>
              <w:top w:type="dxa" w:w="70"/>
              <w:left w:type="dxa" w:w="110"/>
              <w:bottom w:type="dxa" w:w="70"/>
              <w:right w:type="dxa" w:w="110"/>
            </w:tcMar>
          </w:tcPr>
          <w:p>
            <w:pPr>
              <w:spacing w:after="0" w:before="0"/>
              <w:jc w:val="left"/>
            </w:pPr>
            <w:r>
              <w:rPr>
                <w:sz w:val="22"/>
                <w:szCs w:val="22"/>
              </w:rPr>
              <w:t xml:space="preserve">Capacity</w:t>
            </w:r>
          </w:p>
        </w:tc>
        <w:tc>
          <w:tcPr>
            <w:tcW w:type="pct" w:w="50%"/>
            <w:shd w:fill="FAF7F2" w:color="auto" w:val="clear"/>
            <w:tcMar>
              <w:top w:type="dxa" w:w="70"/>
              <w:left w:type="dxa" w:w="110"/>
              <w:bottom w:type="dxa" w:w="70"/>
              <w:right w:type="dxa" w:w="110"/>
            </w:tcMar>
          </w:tcPr>
          <w:p>
            <w:pPr>
              <w:spacing w:after="0" w:before="0"/>
              <w:jc w:val="left"/>
            </w:pPr>
            <w:r>
              <w:rPr>
                <w:sz w:val="22"/>
                <w:szCs w:val="22"/>
              </w:rPr>
              <w:t xml:space="preserve">4 loops × 32 points = 128 addressable devices</w:t>
            </w:r>
          </w:p>
        </w:tc>
      </w:tr>
      <w:tr>
        <w:tc>
          <w:tcPr>
            <w:tcW w:type="pct" w:w="50%"/>
            <w:tcMar>
              <w:top w:type="dxa" w:w="70"/>
              <w:left w:type="dxa" w:w="110"/>
              <w:bottom w:type="dxa" w:w="70"/>
              <w:right w:type="dxa" w:w="110"/>
            </w:tcMar>
          </w:tcPr>
          <w:p>
            <w:pPr>
              <w:spacing w:after="0" w:before="0"/>
              <w:jc w:val="left"/>
            </w:pPr>
            <w:r>
              <w:rPr>
                <w:sz w:val="22"/>
                <w:szCs w:val="22"/>
              </w:rPr>
              <w:t xml:space="preserve">Display</w:t>
            </w:r>
          </w:p>
        </w:tc>
        <w:tc>
          <w:tcPr>
            <w:tcW w:type="pct" w:w="50%"/>
            <w:tcMar>
              <w:top w:type="dxa" w:w="70"/>
              <w:left w:type="dxa" w:w="110"/>
              <w:bottom w:type="dxa" w:w="70"/>
              <w:right w:type="dxa" w:w="110"/>
            </w:tcMar>
          </w:tcPr>
          <w:p>
            <w:pPr>
              <w:spacing w:after="0" w:before="0"/>
              <w:jc w:val="left"/>
            </w:pPr>
            <w:r>
              <w:rPr>
                <w:sz w:val="22"/>
                <w:szCs w:val="22"/>
              </w:rPr>
              <w:t xml:space="preserve">Backlit LCD — exact detector address and zone in alarm state</w:t>
            </w:r>
          </w:p>
        </w:tc>
      </w:tr>
      <w:tr>
        <w:tc>
          <w:tcPr>
            <w:tcW w:type="pct" w:w="50%"/>
            <w:shd w:fill="FAF7F2" w:color="auto" w:val="clear"/>
            <w:tcMar>
              <w:top w:type="dxa" w:w="70"/>
              <w:left w:type="dxa" w:w="110"/>
              <w:bottom w:type="dxa" w:w="70"/>
              <w:right w:type="dxa" w:w="110"/>
            </w:tcMar>
          </w:tcPr>
          <w:p>
            <w:pPr>
              <w:spacing w:after="0" w:before="0"/>
              <w:jc w:val="left"/>
            </w:pPr>
            <w:r>
              <w:rPr>
                <w:sz w:val="22"/>
                <w:szCs w:val="22"/>
              </w:rPr>
              <w:t xml:space="preserve">Battery backup</w:t>
            </w:r>
          </w:p>
        </w:tc>
        <w:tc>
          <w:tcPr>
            <w:tcW w:type="pct" w:w="50%"/>
            <w:shd w:fill="FAF7F2" w:color="auto" w:val="clear"/>
            <w:tcMar>
              <w:top w:type="dxa" w:w="70"/>
              <w:left w:type="dxa" w:w="110"/>
              <w:bottom w:type="dxa" w:w="70"/>
              <w:right w:type="dxa" w:w="110"/>
            </w:tcMar>
          </w:tcPr>
          <w:p>
            <w:pPr>
              <w:spacing w:after="0" w:before="0"/>
              <w:jc w:val="left"/>
            </w:pPr>
            <w:r>
              <w:rPr>
                <w:sz w:val="22"/>
                <w:szCs w:val="22"/>
              </w:rPr>
              <w:t xml:space="preserve">72 hours standby + 30 min. alarm (NF S 61-919 min.: 24 h)</w:t>
            </w:r>
          </w:p>
        </w:tc>
      </w:tr>
      <w:tr>
        <w:tc>
          <w:tcPr>
            <w:tcW w:type="pct" w:w="50%"/>
            <w:tcMar>
              <w:top w:type="dxa" w:w="70"/>
              <w:left w:type="dxa" w:w="110"/>
              <w:bottom w:type="dxa" w:w="70"/>
              <w:right w:type="dxa" w:w="110"/>
            </w:tcMar>
          </w:tcPr>
          <w:p>
            <w:pPr>
              <w:spacing w:after="0" w:before="0"/>
              <w:jc w:val="left"/>
            </w:pPr>
            <w:r>
              <w:rPr>
                <w:sz w:val="22"/>
                <w:szCs w:val="22"/>
              </w:rPr>
              <w:t xml:space="preserve">Remote monitoring output</w:t>
            </w:r>
          </w:p>
        </w:tc>
        <w:tc>
          <w:tcPr>
            <w:tcW w:type="pct" w:w="50%"/>
            <w:tcMar>
              <w:top w:type="dxa" w:w="70"/>
              <w:left w:type="dxa" w:w="110"/>
              <w:bottom w:type="dxa" w:w="70"/>
              <w:right w:type="dxa" w:w="110"/>
            </w:tcMar>
          </w:tcPr>
          <w:p>
            <w:pPr>
              <w:spacing w:after="0" w:before="0"/>
              <w:jc w:val="left"/>
            </w:pPr>
            <w:r>
              <w:rPr>
                <w:sz w:val="22"/>
                <w:szCs w:val="22"/>
              </w:rPr>
              <w:t xml:space="preserve">RS485 + GPRS to licensed remote monitoring centre (24h/7)</w:t>
            </w:r>
          </w:p>
        </w:tc>
      </w:tr>
      <w:tr>
        <w:tc>
          <w:tcPr>
            <w:tcW w:type="pct" w:w="50%"/>
            <w:shd w:fill="FAF7F2" w:color="auto" w:val="clear"/>
            <w:tcMar>
              <w:top w:type="dxa" w:w="70"/>
              <w:left w:type="dxa" w:w="110"/>
              <w:bottom w:type="dxa" w:w="70"/>
              <w:right w:type="dxa" w:w="110"/>
            </w:tcMar>
          </w:tcPr>
          <w:p>
            <w:pPr>
              <w:spacing w:after="0" w:before="0"/>
              <w:jc w:val="left"/>
            </w:pPr>
            <w:r>
              <w:rPr>
                <w:sz w:val="22"/>
                <w:szCs w:val="22"/>
              </w:rPr>
              <w:t xml:space="preserve">Location</w:t>
            </w:r>
          </w:p>
        </w:tc>
        <w:tc>
          <w:tcPr>
            <w:tcW w:type="pct" w:w="50%"/>
            <w:shd w:fill="FAF7F2" w:color="auto" w:val="clear"/>
            <w:tcMar>
              <w:top w:type="dxa" w:w="70"/>
              <w:left w:type="dxa" w:w="110"/>
              <w:bottom w:type="dxa" w:w="70"/>
              <w:right w:type="dxa" w:w="110"/>
            </w:tcMar>
          </w:tcPr>
          <w:p>
            <w:pPr>
              <w:spacing w:after="0" w:before="0"/>
              <w:jc w:val="left"/>
            </w:pPr>
            <w:r>
              <w:rPr>
                <w:sz w:val="22"/>
                <w:szCs w:val="22"/>
              </w:rPr>
              <w:t xml:space="preserve">Guard post — 24h/7 manned access</w:t>
            </w:r>
          </w:p>
        </w:tc>
      </w:tr>
      <w:tr>
        <w:tc>
          <w:tcPr>
            <w:tcW w:type="pct" w:w="50%"/>
            <w:tcMar>
              <w:top w:type="dxa" w:w="70"/>
              <w:left w:type="dxa" w:w="110"/>
              <w:bottom w:type="dxa" w:w="70"/>
              <w:right w:type="dxa" w:w="110"/>
            </w:tcMar>
          </w:tcPr>
          <w:p>
            <w:pPr>
              <w:spacing w:after="0" w:before="0"/>
              <w:jc w:val="left"/>
            </w:pPr>
            <w:r>
              <w:rPr>
                <w:sz w:val="22"/>
                <w:szCs w:val="22"/>
              </w:rPr>
              <w:t xml:space="preserve">FSMS outputs</w:t>
            </w:r>
          </w:p>
        </w:tc>
        <w:tc>
          <w:tcPr>
            <w:tcW w:type="pct" w:w="50%"/>
            <w:tcMar>
              <w:top w:type="dxa" w:w="70"/>
              <w:left w:type="dxa" w:w="110"/>
              <w:bottom w:type="dxa" w:w="70"/>
              <w:right w:type="dxa" w:w="110"/>
            </w:tcMar>
          </w:tcPr>
          <w:p>
            <w:pPr>
              <w:spacing w:after="0" w:before="0"/>
              <w:jc w:val="left"/>
            </w:pPr>
            <w:r>
              <w:rPr>
                <w:sz w:val="22"/>
                <w:szCs w:val="22"/>
              </w:rPr>
              <w:t xml:space="preserve">Smoke vent opening command + fire door closure + general evacuation alarm</w:t>
            </w:r>
          </w:p>
        </w:tc>
      </w:tr>
    </w:tbl>
    <w:p/>
    <w:p/>
    <w:p>
      <w:pPr>
        <w:pBdr>
          <w:bottom w:val="single" w:color="E5E1D8" w:sz="6" w:space="1"/>
        </w:pBdr>
        <w:spacing w:after="120" w:before="120"/>
      </w:pPr>
      <w:r>
        <w:t xml:space="preserve"/>
      </w:r>
    </w:p>
    <w:p/>
    <w:p>
      <w:pPr>
        <w:pStyle w:val="Heading3"/>
      </w:pPr>
      <w:bookmarkStart w:name="nexia_h_141" w:id="1"/>
      <w:r>
        <w:rPr>
          <w:b/>
          <w:bCs/>
        </w:rPr>
        <w:t xml:space="preserve">1.5.4.  </w:t>
      </w:r>
      <w:r>
        <w:t xml:space="preserve">DIAGRAM 2 — FIRE SAFETY SYSTEM (FSS) CATEGORY A — FUNCTIONAL ARCHITECTURE</w:t>
      </w:r>
      <w:bookmarkEnd w:id="1"/>
    </w:p>
    <w:p/>
    <w:p>
      <w:pPr>
        <w:spacing w:after="120" w:line="320"/>
        <w:jc w:val="both"/>
      </w:pPr>
      <w:r>
        <w:t xml:space="preserve">The diagram below shows the complete functional architecture of the Category A FSS, from field devices (detectors and manual call points) through the Fire Detection Panel to safety actuators (smoke vents and fire doors) and remote monitoring.</w:t>
      </w:r>
    </w:p>
    <w:p/>
    <w:p>
      <w:pPr>
        <w:spacing w:after="80" w:before="120"/>
        <w:jc w:val="center"/>
      </w:pPr>
      <w:r>
        <w:drawing>
          <wp:inline distT="0" distB="0" distL="0" distR="0">
            <wp:extent cx="4572000" cy="3048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4572000" cy="3048000"/>
                    </a:xfrm>
                    <a:prstGeom prst="rect">
                      <a:avLst/>
                    </a:prstGeom>
                  </pic:spPr>
                </pic:pic>
              </a:graphicData>
            </a:graphic>
          </wp:inline>
        </w:drawing>
      </w:r>
    </w:p>
    <w:p>
      <w:pPr>
        <w:spacing w:after="200"/>
        <w:jc w:val="center"/>
      </w:pPr>
      <w:r>
        <w:rPr>
          <w:i/>
          <w:iCs/>
          <w:color w:val="555555"/>
          <w:sz w:val="20"/>
          <w:szCs w:val="20"/>
        </w:rPr>
        <w:t xml:space="preserve">Fire Safety System Category A — Functional Architecture — Ngoundiane Workshop</w:t>
      </w:r>
    </w:p>
    <w:p/>
    <w:p>
      <w:pPr>
        <w:pBdr>
          <w:bottom w:val="single" w:color="E5E1D8" w:sz="6" w:space="1"/>
        </w:pBdr>
        <w:spacing w:after="120" w:before="120"/>
      </w:pPr>
      <w:r>
        <w:t xml:space="preserve"/>
      </w:r>
    </w:p>
    <w:p/>
    <w:p>
      <w:pPr>
        <w:pStyle w:val="Heading2"/>
      </w:pPr>
      <w:bookmarkStart w:name="nexia_h_149" w:id="1"/>
      <w:r>
        <w:rPr>
          <w:b/>
          <w:bCs/>
        </w:rPr>
        <w:t xml:space="preserve">1.6.  </w:t>
      </w:r>
      <w:r>
        <w:t xml:space="preserve">Smoke Extraction — Natural Ventilation</w:t>
      </w:r>
      <w:bookmarkEnd w:id="1"/>
    </w:p>
    <w:p/>
    <w:p>
      <w:pPr>
        <w:spacing w:after="120" w:line="320"/>
        <w:jc w:val="both"/>
      </w:pPr>
      <w:r>
        <w:t xml:space="preserve">Natural smoke extraction is based on the principle of extracting smoke by natural draught. Hot gases are evacuated to the outside via natural smoke and heat exhaust ventilators (NSHEVs), also known as roof vents.</w:t>
      </w:r>
    </w:p>
    <w:p/>
    <w:p>
      <w:pPr>
        <w:pStyle w:val="Heading3"/>
      </w:pPr>
      <w:bookmarkStart w:name="nexia_h_153" w:id="1"/>
      <w:r>
        <w:rPr>
          <w:b/>
          <w:bCs/>
        </w:rPr>
        <w:t xml:space="preserve">1.6.1.  </w:t>
      </w:r>
      <w:r>
        <w:t xml:space="preserve">Extraction Surface Calculation</w:t>
      </w:r>
      <w:bookmarkEnd w:id="1"/>
    </w:p>
    <w:p/>
    <w:p>
      <w:pPr>
        <w:spacing w:after="120" w:line="320"/>
        <w:jc w:val="both"/>
      </w:pPr>
      <w:r>
        <w:t xml:space="preserve">Vents must be uniformly distributed on the roof, with a minimum vent area of 1 m² for every 200 m² of floor space, per NF EN 12101-2 standards.</w:t>
      </w:r>
    </w:p>
    <w:p/>
    <w:p>
      <w:pPr>
        <w:spacing w:after="120" w:line="320"/>
        <w:jc w:val="both"/>
      </w:pPr>
      <w:r>
        <w:t xml:space="preserve">S_geometric,required = (A_room)/200 = 400/200 = 2,0 m² geometric extraction area required</w:t>
      </w:r>
    </w:p>
    <w:p/>
    <w:p>
      <w:pPr>
        <w:spacing w:after="120" w:line="320"/>
        <w:jc w:val="both"/>
      </w:pPr>
      <w:r>
        <w:t xml:space="preserve">where:</w:t>
      </w:r>
    </w:p>
    <w:p>
      <w:pPr>
        <w:pStyle w:val="ListParagraph"/>
        <w:numPr>
          <w:ilvl w:val="0"/>
          <w:numId w:val="1"/>
        </w:numPr>
        <w:spacing w:line="300"/>
      </w:pPr>
      <w:r>
        <w:t xml:space="preserve">S_geometric,required — minimum required geometric area of smoke vents, in m²</w:t>
      </w:r>
    </w:p>
    <w:p>
      <w:pPr>
        <w:pStyle w:val="ListParagraph"/>
        <w:numPr>
          <w:ilvl w:val="0"/>
          <w:numId w:val="1"/>
        </w:numPr>
        <w:spacing w:line="300"/>
      </w:pPr>
      <w:r>
        <w:t xml:space="preserve">A_room — protected floor area of the workshop, in m² (= 400 m²)</w:t>
      </w:r>
    </w:p>
    <w:p>
      <w:pPr>
        <w:pStyle w:val="ListParagraph"/>
        <w:numPr>
          <w:ilvl w:val="0"/>
          <w:numId w:val="1"/>
        </w:numPr>
        <w:spacing w:line="300"/>
      </w:pPr>
      <w:r>
        <w:t xml:space="preserve">200 — sizing ratio per NF EN 12101-2 (1 m² vent per 200 m² floor area)</w:t>
      </w:r>
    </w:p>
    <w:p/>
    <w:p>
      <w:pPr>
        <w:spacing w:after="120" w:line="320"/>
        <w:jc w:val="both"/>
      </w:pPr>
      <w:r>
        <w:rPr>
          <w:b/>
          <w:bCs/>
        </w:rPr>
        <w:t xml:space="preserve">Applying the aerodynamic efficiency factor (C_v = 0.55 for horizontal roof vents):</w:t>
      </w:r>
    </w:p>
    <w:p/>
    <w:p>
      <w:pPr>
        <w:spacing w:after="120" w:line="320"/>
        <w:jc w:val="both"/>
      </w:pPr>
      <w:r>
        <w:t xml:space="preserve">S_aerodyn = C_v × S_geometric,provided = 0,55 × 4,0 = 2,20 m² ≥ 2,0 m² ✓</w:t>
      </w:r>
    </w:p>
    <w:p/>
    <w:p>
      <w:pPr>
        <w:spacing w:after="120" w:line="320"/>
        <w:jc w:val="both"/>
      </w:pPr>
      <w:r>
        <w:t xml:space="preserve">where:</w:t>
      </w:r>
    </w:p>
    <w:p>
      <w:pPr>
        <w:pStyle w:val="ListParagraph"/>
        <w:numPr>
          <w:ilvl w:val="0"/>
          <w:numId w:val="1"/>
        </w:numPr>
        <w:spacing w:line="300"/>
      </w:pPr>
      <w:r>
        <w:t xml:space="preserve">C_v — aerodynamic efficiency factor of roof-mounted horizontal vent = 0.55 (NF EN 12101-2)</w:t>
      </w:r>
    </w:p>
    <w:p>
      <w:pPr>
        <w:pStyle w:val="ListParagraph"/>
        <w:numPr>
          <w:ilvl w:val="0"/>
          <w:numId w:val="1"/>
        </w:numPr>
        <w:spacing w:line="300"/>
      </w:pPr>
      <w:r>
        <w:t xml:space="preserve">S_geometric,provided — total geometric area of installed smoke vents = 4 × 1.0 = 4.0 m²</w:t>
      </w:r>
    </w:p>
    <w:p>
      <w:pPr>
        <w:pStyle w:val="ListParagraph"/>
        <w:numPr>
          <w:ilvl w:val="0"/>
          <w:numId w:val="1"/>
        </w:numPr>
        <w:spacing w:line="300"/>
      </w:pPr>
      <w:r>
        <w:t xml:space="preserve">S_aerodyn — effective aerodynamic extraction area achieved = 2.20 m²</w:t>
      </w:r>
    </w:p>
    <w:p/>
    <w:p>
      <w:pPr>
        <w:spacing w:after="120" w:line="320"/>
        <w:jc w:val="both"/>
      </w:pPr>
      <w:r>
        <w:rPr>
          <w:b/>
          <w:bCs/>
        </w:rPr>
        <w:t xml:space="preserve">Safety margin achieved: +100% above minimum requirement.</w:t>
      </w:r>
    </w:p>
    <w:p/>
    <w:p>
      <w:pPr>
        <w:pStyle w:val="Heading3"/>
      </w:pPr>
      <w:bookmarkStart w:name="nexia_h_175" w:id="1"/>
      <w:r>
        <w:rPr>
          <w:b/>
          <w:bCs/>
        </w:rPr>
        <w:t xml:space="preserve">1.6.2.  </w:t>
      </w:r>
      <w:r>
        <w:t xml:space="preserve">Smoke Vent Specification and Implantation</w:t>
      </w:r>
      <w:bookmarkEnd w:id="1"/>
    </w:p>
    <w:p/>
    <w:p>
      <w:pPr>
        <w:spacing w:after="120" w:line="320"/>
        <w:jc w:val="both"/>
      </w:pPr>
      <w:r>
        <w:rPr>
          <w:b/>
          <w:bCs/>
        </w:rPr>
        <w:t xml:space="preserve">Selected smoke vents:</w:t>
      </w:r>
      <w:r>
        <w:t xml:space="preserve"> 4 automatic roof-mounted natural smoke and heat exhaust ventilators (NSHEV):</w:t>
      </w:r>
    </w:p>
    <w:p/>
    <w:tbl>
      <w:tblPr>
        <w:tblW w:type="pct" w:w="100%"/>
        <w:tblBorders>
          <w:top w:val="single" w:color="BFBFBF" w:sz="6"/>
          <w:left w:val="single" w:color="BFBFBF" w:sz="6"/>
          <w:bottom w:val="single" w:color="BFBFBF" w:sz="6"/>
          <w:right w:val="single" w:color="BFBFBF" w:sz="6"/>
          <w:insideH w:val="single" w:color="BFBFBF" w:sz="6"/>
          <w:insideV w:val="single" w:color="BFBFBF" w:sz="6"/>
        </w:tblBorders>
      </w:tblPr>
      <w:tblGrid>
        <w:gridCol w:w="100"/>
        <w:gridCol w:w="100"/>
      </w:tblGrid>
      <w:tr>
        <w:trPr>
          <w:tblHeader/>
        </w:trPr>
        <w:tc>
          <w:tcPr>
            <w:tcW w:type="pct" w:w="50%"/>
            <w:shd w:fill="1A1F2E" w:color="auto" w:val="clear"/>
            <w:tcMar>
              <w:top w:type="dxa" w:w="100"/>
              <w:left w:type="dxa" w:w="110"/>
              <w:bottom w:type="dxa" w:w="100"/>
              <w:right w:type="dxa" w:w="110"/>
            </w:tcMar>
          </w:tcPr>
          <w:p>
            <w:pPr>
              <w:spacing w:after="0" w:before="0"/>
              <w:jc w:val="left"/>
            </w:pPr>
            <w:r>
              <w:rPr>
                <w:b/>
                <w:bCs/>
                <w:color w:val="FFFFFF"/>
                <w:sz w:val="22"/>
                <w:szCs w:val="22"/>
              </w:rPr>
              <w:t xml:space="preserve">Parameter</w:t>
            </w:r>
          </w:p>
        </w:tc>
        <w:tc>
          <w:tcPr>
            <w:tcW w:type="pct" w:w="50%"/>
            <w:shd w:fill="1A1F2E" w:color="auto" w:val="clear"/>
            <w:tcMar>
              <w:top w:type="dxa" w:w="100"/>
              <w:left w:type="dxa" w:w="110"/>
              <w:bottom w:type="dxa" w:w="100"/>
              <w:right w:type="dxa" w:w="110"/>
            </w:tcMar>
          </w:tcPr>
          <w:p>
            <w:pPr>
              <w:spacing w:after="0" w:before="0"/>
              <w:jc w:val="left"/>
            </w:pPr>
            <w:r>
              <w:rPr>
                <w:b/>
                <w:bCs/>
                <w:color w:val="FFFFFF"/>
                <w:sz w:val="22"/>
                <w:szCs w:val="22"/>
              </w:rPr>
              <w:t xml:space="preserve">Specification</w:t>
            </w:r>
          </w:p>
        </w:tc>
      </w:tr>
      <w:tr>
        <w:tc>
          <w:tcPr>
            <w:tcW w:type="pct" w:w="50%"/>
            <w:tcMar>
              <w:top w:type="dxa" w:w="70"/>
              <w:left w:type="dxa" w:w="110"/>
              <w:bottom w:type="dxa" w:w="70"/>
              <w:right w:type="dxa" w:w="110"/>
            </w:tcMar>
          </w:tcPr>
          <w:p>
            <w:pPr>
              <w:spacing w:after="0" w:before="0"/>
              <w:jc w:val="left"/>
            </w:pPr>
            <w:r>
              <w:rPr>
                <w:sz w:val="22"/>
                <w:szCs w:val="22"/>
              </w:rPr>
              <w:t xml:space="preserve">Geometric opening area</w:t>
            </w:r>
          </w:p>
        </w:tc>
        <w:tc>
          <w:tcPr>
            <w:tcW w:type="pct" w:w="50%"/>
            <w:tcMar>
              <w:top w:type="dxa" w:w="70"/>
              <w:left w:type="dxa" w:w="110"/>
              <w:bottom w:type="dxa" w:w="70"/>
              <w:right w:type="dxa" w:w="110"/>
            </w:tcMar>
          </w:tcPr>
          <w:p>
            <w:pPr>
              <w:spacing w:after="0" w:before="0"/>
              <w:jc w:val="left"/>
            </w:pPr>
            <w:r>
              <w:rPr>
                <w:sz w:val="22"/>
                <w:szCs w:val="22"/>
              </w:rPr>
              <w:t xml:space="preserve">1.0 m² per vent × 4 = 4.0 m² total</w:t>
            </w:r>
          </w:p>
        </w:tc>
      </w:tr>
      <w:tr>
        <w:tc>
          <w:tcPr>
            <w:tcW w:type="pct" w:w="50%"/>
            <w:shd w:fill="FAF7F2" w:color="auto" w:val="clear"/>
            <w:tcMar>
              <w:top w:type="dxa" w:w="70"/>
              <w:left w:type="dxa" w:w="110"/>
              <w:bottom w:type="dxa" w:w="70"/>
              <w:right w:type="dxa" w:w="110"/>
            </w:tcMar>
          </w:tcPr>
          <w:p>
            <w:pPr>
              <w:spacing w:after="0" w:before="0"/>
              <w:jc w:val="left"/>
            </w:pPr>
            <w:r>
              <w:rPr>
                <w:sz w:val="22"/>
                <w:szCs w:val="22"/>
              </w:rPr>
              <w:t xml:space="preserve">Aerodynamic efficiency factor</w:t>
            </w:r>
          </w:p>
        </w:tc>
        <w:tc>
          <w:tcPr>
            <w:tcW w:type="pct" w:w="50%"/>
            <w:shd w:fill="FAF7F2" w:color="auto" w:val="clear"/>
            <w:tcMar>
              <w:top w:type="dxa" w:w="70"/>
              <w:left w:type="dxa" w:w="110"/>
              <w:bottom w:type="dxa" w:w="70"/>
              <w:right w:type="dxa" w:w="110"/>
            </w:tcMar>
          </w:tcPr>
          <w:p>
            <w:pPr>
              <w:spacing w:after="0" w:before="0"/>
              <w:jc w:val="left"/>
            </w:pPr>
            <w:r>
              <w:rPr>
                <w:sz w:val="22"/>
                <w:szCs w:val="22"/>
              </w:rPr>
              <w:t xml:space="preserve">C_v = 0.55</w:t>
            </w:r>
          </w:p>
        </w:tc>
      </w:tr>
      <w:tr>
        <w:tc>
          <w:tcPr>
            <w:tcW w:type="pct" w:w="50%"/>
            <w:tcMar>
              <w:top w:type="dxa" w:w="70"/>
              <w:left w:type="dxa" w:w="110"/>
              <w:bottom w:type="dxa" w:w="70"/>
              <w:right w:type="dxa" w:w="110"/>
            </w:tcMar>
          </w:tcPr>
          <w:p>
            <w:pPr>
              <w:spacing w:after="0" w:before="0"/>
              <w:jc w:val="left"/>
            </w:pPr>
            <w:r>
              <w:rPr>
                <w:sz w:val="22"/>
                <w:szCs w:val="22"/>
              </w:rPr>
              <w:t xml:space="preserve">Wind resistance class</w:t>
            </w:r>
          </w:p>
        </w:tc>
        <w:tc>
          <w:tcPr>
            <w:tcW w:type="pct" w:w="50%"/>
            <w:tcMar>
              <w:top w:type="dxa" w:w="70"/>
              <w:left w:type="dxa" w:w="110"/>
              <w:bottom w:type="dxa" w:w="70"/>
              <w:right w:type="dxa" w:w="110"/>
            </w:tcMar>
          </w:tcPr>
          <w:p>
            <w:pPr>
              <w:spacing w:after="0" w:before="0"/>
              <w:jc w:val="left"/>
            </w:pPr>
            <w:r>
              <w:rPr>
                <w:sz w:val="22"/>
                <w:szCs w:val="22"/>
              </w:rPr>
              <w:t xml:space="preserve">B200 (200 Pa — NF EN 12101-2)</w:t>
            </w:r>
          </w:p>
        </w:tc>
      </w:tr>
      <w:tr>
        <w:tc>
          <w:tcPr>
            <w:tcW w:type="pct" w:w="50%"/>
            <w:shd w:fill="FAF7F2" w:color="auto" w:val="clear"/>
            <w:tcMar>
              <w:top w:type="dxa" w:w="70"/>
              <w:left w:type="dxa" w:w="110"/>
              <w:bottom w:type="dxa" w:w="70"/>
              <w:right w:type="dxa" w:w="110"/>
            </w:tcMar>
          </w:tcPr>
          <w:p>
            <w:pPr>
              <w:spacing w:after="0" w:before="0"/>
              <w:jc w:val="left"/>
            </w:pPr>
            <w:r>
              <w:rPr>
                <w:sz w:val="22"/>
                <w:szCs w:val="22"/>
              </w:rPr>
              <w:t xml:space="preserve">Thermal trigger</w:t>
            </w:r>
          </w:p>
        </w:tc>
        <w:tc>
          <w:tcPr>
            <w:tcW w:type="pct" w:w="50%"/>
            <w:shd w:fill="FAF7F2" w:color="auto" w:val="clear"/>
            <w:tcMar>
              <w:top w:type="dxa" w:w="70"/>
              <w:left w:type="dxa" w:w="110"/>
              <w:bottom w:type="dxa" w:w="70"/>
              <w:right w:type="dxa" w:w="110"/>
            </w:tcMar>
          </w:tcPr>
          <w:p>
            <w:pPr>
              <w:spacing w:after="0" w:before="0"/>
              <w:jc w:val="left"/>
            </w:pPr>
            <w:r>
              <w:rPr>
                <w:sz w:val="22"/>
                <w:szCs w:val="22"/>
              </w:rPr>
              <w:t xml:space="preserve">Fusible link 70°C — automatic release</w:t>
            </w:r>
          </w:p>
        </w:tc>
      </w:tr>
      <w:tr>
        <w:tc>
          <w:tcPr>
            <w:tcW w:type="pct" w:w="50%"/>
            <w:tcMar>
              <w:top w:type="dxa" w:w="70"/>
              <w:left w:type="dxa" w:w="110"/>
              <w:bottom w:type="dxa" w:w="70"/>
              <w:right w:type="dxa" w:w="110"/>
            </w:tcMar>
          </w:tcPr>
          <w:p>
            <w:pPr>
              <w:spacing w:after="0" w:before="0"/>
              <w:jc w:val="left"/>
            </w:pPr>
            <w:r>
              <w:rPr>
                <w:sz w:val="22"/>
                <w:szCs w:val="22"/>
              </w:rPr>
              <w:t xml:space="preserve">Pneumatic trigger</w:t>
            </w:r>
          </w:p>
        </w:tc>
        <w:tc>
          <w:tcPr>
            <w:tcW w:type="pct" w:w="50%"/>
            <w:tcMar>
              <w:top w:type="dxa" w:w="70"/>
              <w:left w:type="dxa" w:w="110"/>
              <w:bottom w:type="dxa" w:w="70"/>
              <w:right w:type="dxa" w:w="110"/>
            </w:tcMar>
          </w:tcPr>
          <w:p>
            <w:pPr>
              <w:spacing w:after="0" w:before="0"/>
              <w:jc w:val="left"/>
            </w:pPr>
            <w:r>
              <w:rPr>
                <w:sz w:val="22"/>
                <w:szCs w:val="22"/>
              </w:rPr>
              <w:t xml:space="preserve">CO² cylinder — fusible link failure backup</w:t>
            </w:r>
          </w:p>
        </w:tc>
      </w:tr>
      <w:tr>
        <w:tc>
          <w:tcPr>
            <w:tcW w:type="pct" w:w="50%"/>
            <w:shd w:fill="FAF7F2" w:color="auto" w:val="clear"/>
            <w:tcMar>
              <w:top w:type="dxa" w:w="70"/>
              <w:left w:type="dxa" w:w="110"/>
              <w:bottom w:type="dxa" w:w="70"/>
              <w:right w:type="dxa" w:w="110"/>
            </w:tcMar>
          </w:tcPr>
          <w:p>
            <w:pPr>
              <w:spacing w:after="0" w:before="0"/>
              <w:jc w:val="left"/>
            </w:pPr>
            <w:r>
              <w:rPr>
                <w:sz w:val="22"/>
                <w:szCs w:val="22"/>
              </w:rPr>
              <w:t xml:space="preserve">Electrical trigger</w:t>
            </w:r>
          </w:p>
        </w:tc>
        <w:tc>
          <w:tcPr>
            <w:tcW w:type="pct" w:w="50%"/>
            <w:shd w:fill="FAF7F2" w:color="auto" w:val="clear"/>
            <w:tcMar>
              <w:top w:type="dxa" w:w="70"/>
              <w:left w:type="dxa" w:w="110"/>
              <w:bottom w:type="dxa" w:w="70"/>
              <w:right w:type="dxa" w:w="110"/>
            </w:tcMar>
          </w:tcPr>
          <w:p>
            <w:pPr>
              <w:spacing w:after="0" w:before="0"/>
              <w:jc w:val="left"/>
            </w:pPr>
            <w:r>
              <w:rPr>
                <w:sz w:val="22"/>
                <w:szCs w:val="22"/>
              </w:rPr>
              <w:t xml:space="preserve">FSMS command — simultaneous opening all 4 vents</w:t>
            </w:r>
          </w:p>
        </w:tc>
      </w:tr>
      <w:tr>
        <w:tc>
          <w:tcPr>
            <w:tcW w:type="pct" w:w="50%"/>
            <w:tcMar>
              <w:top w:type="dxa" w:w="70"/>
              <w:left w:type="dxa" w:w="110"/>
              <w:bottom w:type="dxa" w:w="70"/>
              <w:right w:type="dxa" w:w="110"/>
            </w:tcMar>
          </w:tcPr>
          <w:p>
            <w:pPr>
              <w:spacing w:after="0" w:before="0"/>
              <w:jc w:val="left"/>
            </w:pPr>
            <w:r>
              <w:rPr>
                <w:sz w:val="22"/>
                <w:szCs w:val="22"/>
              </w:rPr>
              <w:t xml:space="preserve">Maximum opening time</w:t>
            </w:r>
          </w:p>
        </w:tc>
        <w:tc>
          <w:tcPr>
            <w:tcW w:type="pct" w:w="50%"/>
            <w:tcMar>
              <w:top w:type="dxa" w:w="70"/>
              <w:left w:type="dxa" w:w="110"/>
              <w:bottom w:type="dxa" w:w="70"/>
              <w:right w:type="dxa" w:w="110"/>
            </w:tcMar>
          </w:tcPr>
          <w:p>
            <w:pPr>
              <w:spacing w:after="0" w:before="0"/>
              <w:jc w:val="left"/>
            </w:pPr>
            <w:r>
              <w:rPr>
                <w:sz w:val="22"/>
                <w:szCs w:val="22"/>
              </w:rPr>
              <w:t xml:space="preserve">60 seconds from alarm signal</w:t>
            </w:r>
          </w:p>
        </w:tc>
      </w:tr>
      <w:tr>
        <w:tc>
          <w:tcPr>
            <w:tcW w:type="pct" w:w="50%"/>
            <w:shd w:fill="FAF7F2" w:color="auto" w:val="clear"/>
            <w:tcMar>
              <w:top w:type="dxa" w:w="70"/>
              <w:left w:type="dxa" w:w="110"/>
              <w:bottom w:type="dxa" w:w="70"/>
              <w:right w:type="dxa" w:w="110"/>
            </w:tcMar>
          </w:tcPr>
          <w:p>
            <w:pPr>
              <w:spacing w:after="0" w:before="0"/>
              <w:jc w:val="left"/>
            </w:pPr>
            <w:r>
              <w:rPr>
                <w:sz w:val="22"/>
                <w:szCs w:val="22"/>
              </w:rPr>
              <w:t xml:space="preserve">Roof layout</w:t>
            </w:r>
          </w:p>
        </w:tc>
        <w:tc>
          <w:tcPr>
            <w:tcW w:type="pct" w:w="50%"/>
            <w:shd w:fill="FAF7F2" w:color="auto" w:val="clear"/>
            <w:tcMar>
              <w:top w:type="dxa" w:w="70"/>
              <w:left w:type="dxa" w:w="110"/>
              <w:bottom w:type="dxa" w:w="70"/>
              <w:right w:type="dxa" w:w="110"/>
            </w:tcMar>
          </w:tcPr>
          <w:p>
            <w:pPr>
              <w:spacing w:after="0" w:before="0"/>
              <w:jc w:val="left"/>
            </w:pPr>
            <w:r>
              <w:rPr>
                <w:sz w:val="22"/>
                <w:szCs w:val="22"/>
              </w:rPr>
              <w:t xml:space="preserve">2 × 2 grid — central zone — min. 4 m spacing between vents</w:t>
            </w:r>
          </w:p>
        </w:tc>
      </w:tr>
      <w:tr>
        <w:tc>
          <w:tcPr>
            <w:tcW w:type="pct" w:w="50%"/>
            <w:tcMar>
              <w:top w:type="dxa" w:w="70"/>
              <w:left w:type="dxa" w:w="110"/>
              <w:bottom w:type="dxa" w:w="70"/>
              <w:right w:type="dxa" w:w="110"/>
            </w:tcMar>
          </w:tcPr>
          <w:p>
            <w:pPr>
              <w:spacing w:after="0" w:before="0"/>
              <w:jc w:val="left"/>
            </w:pPr>
            <w:r>
              <w:rPr>
                <w:sz w:val="22"/>
                <w:szCs w:val="22"/>
              </w:rPr>
              <w:t xml:space="preserve">Clearance from walls</w:t>
            </w:r>
          </w:p>
        </w:tc>
        <w:tc>
          <w:tcPr>
            <w:tcW w:type="pct" w:w="50%"/>
            <w:tcMar>
              <w:top w:type="dxa" w:w="70"/>
              <w:left w:type="dxa" w:w="110"/>
              <w:bottom w:type="dxa" w:w="70"/>
              <w:right w:type="dxa" w:w="110"/>
            </w:tcMar>
          </w:tcPr>
          <w:p>
            <w:pPr>
              <w:spacing w:after="0" w:before="0"/>
              <w:jc w:val="left"/>
            </w:pPr>
            <w:r>
              <w:rPr>
                <w:sz w:val="22"/>
                <w:szCs w:val="22"/>
              </w:rPr>
              <w:t xml:space="preserve">Minimum 2 m from all perimeter walls</w:t>
            </w:r>
          </w:p>
        </w:tc>
      </w:tr>
    </w:tbl>
    <w:p/>
    <w:p/>
    <w:p>
      <w:pPr>
        <w:pStyle w:val="Heading3"/>
      </w:pPr>
      <w:bookmarkStart w:name="nexia_h_181" w:id="1"/>
      <w:r>
        <w:rPr>
          <w:b/>
          <w:bCs/>
        </w:rPr>
        <w:t xml:space="preserve">1.6.3.  </w:t>
      </w:r>
      <w:r>
        <w:t xml:space="preserve">Air Inlets</w:t>
      </w:r>
      <w:bookmarkEnd w:id="1"/>
    </w:p>
    <w:p/>
    <w:p>
      <w:pPr>
        <w:spacing w:after="120" w:line="320"/>
        <w:jc w:val="both"/>
      </w:pPr>
      <w:r>
        <w:t xml:space="preserve">Façade openings at low level can be used to bring fresh air into the room to be cleared of smoke.</w:t>
      </w:r>
    </w:p>
    <w:p/>
    <w:p>
      <w:pPr>
        <w:spacing w:after="120" w:line="320"/>
        <w:jc w:val="both"/>
      </w:pPr>
      <w:r>
        <w:t xml:space="preserve">S_air inlet,required ≥ S_smoke vents,geometric = 4,0 m²</w:t>
      </w:r>
    </w:p>
    <w:p/>
    <w:p>
      <w:pPr>
        <w:spacing w:after="120" w:line="320"/>
        <w:jc w:val="both"/>
      </w:pPr>
      <w:r>
        <w:rPr>
          <w:b/>
          <w:bCs/>
        </w:rPr>
        <w:t xml:space="preserve">Selected air inlet devices:</w:t>
      </w:r>
    </w:p>
    <w:p>
      <w:pPr>
        <w:pStyle w:val="ListParagraph"/>
        <w:numPr>
          <w:ilvl w:val="0"/>
          <w:numId w:val="1"/>
        </w:numPr>
        <w:spacing w:line="300"/>
      </w:pPr>
      <w:r>
        <w:t xml:space="preserve">4 automatic low-level wall grilles — 1.0 m² geometric area each</w:t>
      </w:r>
    </w:p>
    <w:p>
      <w:pPr>
        <w:pStyle w:val="ListParagraph"/>
        <w:numPr>
          <w:ilvl w:val="0"/>
          <w:numId w:val="1"/>
        </w:numPr>
        <w:spacing w:line="300"/>
      </w:pPr>
      <w:r>
        <w:t xml:space="preserve">Located on north and south elevations of workshop</w:t>
      </w:r>
    </w:p>
    <w:p>
      <w:pPr>
        <w:pStyle w:val="ListParagraph"/>
        <w:numPr>
          <w:ilvl w:val="0"/>
          <w:numId w:val="1"/>
        </w:numPr>
        <w:spacing w:line="300"/>
      </w:pPr>
      <w:r>
        <w:t xml:space="preserve">Maximum sill height: 1.0 m above finished floor level</w:t>
      </w:r>
    </w:p>
    <w:p>
      <w:pPr>
        <w:pStyle w:val="ListParagraph"/>
        <w:numPr>
          <w:ilvl w:val="0"/>
          <w:numId w:val="1"/>
        </w:numPr>
        <w:spacing w:line="300"/>
      </w:pPr>
      <w:r>
        <w:t xml:space="preserve">Automatic opening: FSMS simultaneous command with smoke vent opening</w:t>
      </w:r>
    </w:p>
    <w:p>
      <w:pPr>
        <w:pStyle w:val="ListParagraph"/>
        <w:numPr>
          <w:ilvl w:val="0"/>
          <w:numId w:val="1"/>
        </w:numPr>
        <w:spacing w:line="300"/>
      </w:pPr>
      <w:r>
        <w:t xml:space="preserve">Fire-rated dampers: EI 30 — fail-safe open on power loss</w:t>
      </w:r>
    </w:p>
    <w:p/>
    <w:p>
      <w:pPr>
        <w:pBdr>
          <w:bottom w:val="single" w:color="E5E1D8" w:sz="6" w:space="1"/>
        </w:pBdr>
        <w:spacing w:after="120" w:before="120"/>
      </w:pPr>
      <w:r>
        <w:t xml:space="preserve"/>
      </w:r>
    </w:p>
    <w:p/>
    <w:p>
      <w:pPr>
        <w:pStyle w:val="Heading3"/>
      </w:pPr>
      <w:bookmarkStart w:name="nexia_h_196" w:id="1"/>
      <w:r>
        <w:rPr>
          <w:b/>
          <w:bCs/>
        </w:rPr>
        <w:t xml:space="preserve">1.6.4.  </w:t>
      </w:r>
      <w:r>
        <w:t xml:space="preserve">DIAGRAM 3 — NATURAL SMOKE EXTRACTION — CROSS-SECTION A-A — WORKSHOP 20 m × CLEAR HEIGHT 6 m</w:t>
      </w:r>
      <w:bookmarkEnd w:id="1"/>
    </w:p>
    <w:p/>
    <w:p>
      <w:pPr>
        <w:spacing w:after="120" w:line="320"/>
        <w:jc w:val="both"/>
      </w:pPr>
      <w:r>
        <w:t xml:space="preserve">The cross-section below illustrates the physical principle of natural buoyancy-driven smoke extraction: hot gases rise and are extracted through roof vents while cool replacement air enters through automatic low-level grilles.</w:t>
      </w:r>
    </w:p>
    <w:p/>
    <w:p>
      <w:pPr>
        <w:spacing w:after="80" w:before="120"/>
        <w:jc w:val="center"/>
      </w:pPr>
      <w:r>
        <w:drawing>
          <wp:inline distT="0" distB="0" distL="0" distR="0">
            <wp:extent cx="4572000" cy="3048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4572000" cy="3048000"/>
                    </a:xfrm>
                    <a:prstGeom prst="rect">
                      <a:avLst/>
                    </a:prstGeom>
                  </pic:spPr>
                </pic:pic>
              </a:graphicData>
            </a:graphic>
          </wp:inline>
        </w:drawing>
      </w:r>
    </w:p>
    <w:p>
      <w:pPr>
        <w:spacing w:after="200"/>
        <w:jc w:val="center"/>
      </w:pPr>
      <w:r>
        <w:rPr>
          <w:i/>
          <w:iCs/>
          <w:color w:val="555555"/>
          <w:sz w:val="20"/>
          <w:szCs w:val="20"/>
        </w:rPr>
        <w:t xml:space="preserve">Natural Smoke Extraction — Cross-Section A-A — Workshop 20m × CH 6m</w:t>
      </w:r>
    </w:p>
    <w:p/>
    <w:p>
      <w:pPr>
        <w:pBdr>
          <w:bottom w:val="single" w:color="E5E1D8" w:sz="6" w:space="1"/>
        </w:pBdr>
        <w:spacing w:after="120" w:before="120"/>
      </w:pPr>
      <w:r>
        <w:t xml:space="preserve"/>
      </w:r>
    </w:p>
    <w:p/>
    <w:p>
      <w:pPr>
        <w:pStyle w:val="Heading2"/>
      </w:pPr>
      <w:bookmarkStart w:name="nexia_h_204" w:id="1"/>
      <w:r>
        <w:rPr>
          <w:b/>
          <w:bCs/>
        </w:rPr>
        <w:t xml:space="preserve">1.7.  </w:t>
      </w:r>
      <w:r>
        <w:t xml:space="preserve">Firefighting Means</w:t>
      </w:r>
      <w:bookmarkEnd w:id="1"/>
    </w:p>
    <w:p/>
    <w:p>
      <w:pPr>
        <w:pStyle w:val="Heading3"/>
      </w:pPr>
      <w:bookmarkStart w:name="nexia_h_206" w:id="1"/>
      <w:r>
        <w:rPr>
          <w:b/>
          <w:bCs/>
        </w:rPr>
        <w:t xml:space="preserve">1.7.1.  </w:t>
      </w:r>
      <w:r>
        <w:t xml:space="preserve">Fire Extinguishers</w:t>
      </w:r>
      <w:bookmarkEnd w:id="1"/>
    </w:p>
    <w:p/>
    <w:p>
      <w:pPr>
        <w:spacing w:after="120" w:line="320"/>
        <w:jc w:val="both"/>
      </w:pPr>
      <w:r>
        <w:rPr>
          <w:b/>
          <w:bCs/>
        </w:rPr>
        <w:t xml:space="preserve">General sizing rule:</w:t>
      </w:r>
      <w:r>
        <w:t xml:space="preserve"> 1 extinguisher per 200–300 m² of floor area, with a maximum travel distance of </w:t>
      </w:r>
      <w:r>
        <w:rPr>
          <w:b/>
          <w:bCs/>
        </w:rPr>
        <w:t xml:space="preserve">15 m</w:t>
      </w:r>
      <w:r>
        <w:t xml:space="preserve"> between any point in the zone and the nearest extinguisher. Mounting height: 1.00 to 1.50 m above finished floor level, on wall-mounted bracket, below ISO 7010 F001 pictogram.</w:t>
      </w:r>
    </w:p>
    <w:p/>
    <w:tbl>
      <w:tblPr>
        <w:tblW w:type="pct" w:w="100%"/>
        <w:tblBorders>
          <w:top w:val="single" w:color="BFBFBF" w:sz="6"/>
          <w:left w:val="single" w:color="BFBFBF" w:sz="6"/>
          <w:bottom w:val="single" w:color="BFBFBF" w:sz="6"/>
          <w:right w:val="single" w:color="BFBFBF" w:sz="6"/>
          <w:insideH w:val="single" w:color="BFBFBF" w:sz="6"/>
          <w:insideV w:val="single" w:color="BFBFBF" w:sz="6"/>
        </w:tblBorders>
      </w:tblPr>
      <w:tblGrid>
        <w:gridCol w:w="100"/>
        <w:gridCol w:w="100"/>
        <w:gridCol w:w="100"/>
        <w:gridCol w:w="100"/>
      </w:tblGrid>
      <w:tr>
        <w:trPr>
          <w:tblHeader/>
        </w:trPr>
        <w:tc>
          <w:tcPr>
            <w:tcW w:type="pct" w:w="25%"/>
            <w:shd w:fill="1A1F2E" w:color="auto" w:val="clear"/>
            <w:tcMar>
              <w:top w:type="dxa" w:w="100"/>
              <w:left w:type="dxa" w:w="110"/>
              <w:bottom w:type="dxa" w:w="100"/>
              <w:right w:type="dxa" w:w="110"/>
            </w:tcMar>
          </w:tcPr>
          <w:p>
            <w:pPr>
              <w:spacing w:after="0" w:before="0"/>
              <w:jc w:val="left"/>
            </w:pPr>
            <w:r>
              <w:rPr>
                <w:b/>
                <w:bCs/>
                <w:color w:val="FFFFFF"/>
                <w:sz w:val="22"/>
                <w:szCs w:val="22"/>
              </w:rPr>
              <w:t xml:space="preserve">Zone</w:t>
            </w:r>
          </w:p>
        </w:tc>
        <w:tc>
          <w:tcPr>
            <w:tcW w:type="pct" w:w="25%"/>
            <w:shd w:fill="1A1F2E" w:color="auto" w:val="clear"/>
            <w:tcMar>
              <w:top w:type="dxa" w:w="100"/>
              <w:left w:type="dxa" w:w="110"/>
              <w:bottom w:type="dxa" w:w="100"/>
              <w:right w:type="dxa" w:w="110"/>
            </w:tcMar>
          </w:tcPr>
          <w:p>
            <w:pPr>
              <w:spacing w:after="0" w:before="0"/>
              <w:jc w:val="left"/>
            </w:pPr>
            <w:r>
              <w:rPr>
                <w:b/>
                <w:bCs/>
                <w:color w:val="FFFFFF"/>
                <w:sz w:val="22"/>
                <w:szCs w:val="22"/>
              </w:rPr>
              <w:t xml:space="preserve">Extinguisher type</w:t>
            </w:r>
          </w:p>
        </w:tc>
        <w:tc>
          <w:tcPr>
            <w:tcW w:type="pct" w:w="25%"/>
            <w:shd w:fill="1A1F2E" w:color="auto" w:val="clear"/>
            <w:tcMar>
              <w:top w:type="dxa" w:w="100"/>
              <w:left w:type="dxa" w:w="110"/>
              <w:bottom w:type="dxa" w:w="100"/>
              <w:right w:type="dxa" w:w="110"/>
            </w:tcMar>
          </w:tcPr>
          <w:p>
            <w:pPr>
              <w:spacing w:after="0" w:before="0"/>
              <w:jc w:val="right"/>
            </w:pPr>
            <w:r>
              <w:rPr>
                <w:b/>
                <w:bCs/>
                <w:color w:val="FFFFFF"/>
                <w:sz w:val="22"/>
                <w:szCs w:val="22"/>
              </w:rPr>
              <w:t xml:space="preserve">Quantity</w:t>
            </w:r>
          </w:p>
        </w:tc>
        <w:tc>
          <w:tcPr>
            <w:tcW w:type="pct" w:w="25%"/>
            <w:shd w:fill="1A1F2E" w:color="auto" w:val="clear"/>
            <w:tcMar>
              <w:top w:type="dxa" w:w="100"/>
              <w:left w:type="dxa" w:w="110"/>
              <w:bottom w:type="dxa" w:w="100"/>
              <w:right w:type="dxa" w:w="110"/>
            </w:tcMar>
          </w:tcPr>
          <w:p>
            <w:pPr>
              <w:spacing w:after="0" w:before="0"/>
              <w:jc w:val="left"/>
            </w:pPr>
            <w:r>
              <w:rPr>
                <w:b/>
                <w:bCs/>
                <w:color w:val="FFFFFF"/>
                <w:sz w:val="22"/>
                <w:szCs w:val="22"/>
              </w:rPr>
              <w:t xml:space="preserve">Fire class covered</w:t>
            </w:r>
          </w:p>
        </w:tc>
      </w:tr>
      <w:tr>
        <w:tc>
          <w:tcPr>
            <w:tcW w:type="pct" w:w="25%"/>
            <w:tcMar>
              <w:top w:type="dxa" w:w="70"/>
              <w:left w:type="dxa" w:w="110"/>
              <w:bottom w:type="dxa" w:w="70"/>
              <w:right w:type="dxa" w:w="110"/>
            </w:tcMar>
          </w:tcPr>
          <w:p>
            <w:pPr>
              <w:spacing w:after="0" w:before="0"/>
              <w:jc w:val="left"/>
            </w:pPr>
            <w:r>
              <w:rPr>
                <w:sz w:val="22"/>
                <w:szCs w:val="22"/>
              </w:rPr>
              <w:t xml:space="preserve">Workshop (timber, sawdust)</w:t>
            </w:r>
          </w:p>
        </w:tc>
        <w:tc>
          <w:tcPr>
            <w:tcW w:type="pct" w:w="25%"/>
            <w:tcMar>
              <w:top w:type="dxa" w:w="70"/>
              <w:left w:type="dxa" w:w="110"/>
              <w:bottom w:type="dxa" w:w="70"/>
              <w:right w:type="dxa" w:w="110"/>
            </w:tcMar>
          </w:tcPr>
          <w:p>
            <w:pPr>
              <w:spacing w:after="0" w:before="0"/>
              <w:jc w:val="left"/>
            </w:pPr>
            <w:r>
              <w:rPr>
                <w:sz w:val="22"/>
                <w:szCs w:val="22"/>
              </w:rPr>
              <w:t xml:space="preserve">Water mist 9 L — 34A</w:t>
            </w:r>
          </w:p>
        </w:tc>
        <w:tc>
          <w:tcPr>
            <w:tcW w:type="pct" w:w="25%"/>
            <w:tcMar>
              <w:top w:type="dxa" w:w="70"/>
              <w:left w:type="dxa" w:w="110"/>
              <w:bottom w:type="dxa" w:w="70"/>
              <w:right w:type="dxa" w:w="110"/>
            </w:tcMar>
          </w:tcPr>
          <w:p>
            <w:pPr>
              <w:spacing w:after="0" w:before="0"/>
              <w:jc w:val="right"/>
            </w:pPr>
            <w:r>
              <w:rPr>
                <w:sz w:val="22"/>
                <w:szCs w:val="22"/>
              </w:rPr>
              <w:t xml:space="preserve">4</w:t>
            </w:r>
          </w:p>
        </w:tc>
        <w:tc>
          <w:tcPr>
            <w:tcW w:type="pct" w:w="25%"/>
            <w:tcMar>
              <w:top w:type="dxa" w:w="70"/>
              <w:left w:type="dxa" w:w="110"/>
              <w:bottom w:type="dxa" w:w="70"/>
              <w:right w:type="dxa" w:w="110"/>
            </w:tcMar>
          </w:tcPr>
          <w:p>
            <w:pPr>
              <w:spacing w:after="0" w:before="0"/>
              <w:jc w:val="left"/>
            </w:pPr>
            <w:r>
              <w:rPr>
                <w:sz w:val="22"/>
                <w:szCs w:val="22"/>
              </w:rPr>
              <w:t xml:space="preserve">Class A</w:t>
            </w:r>
          </w:p>
        </w:tc>
      </w:tr>
      <w:tr>
        <w:tc>
          <w:tcPr>
            <w:tcW w:type="pct" w:w="25%"/>
            <w:shd w:fill="FAF7F2" w:color="auto" w:val="clear"/>
            <w:tcMar>
              <w:top w:type="dxa" w:w="70"/>
              <w:left w:type="dxa" w:w="110"/>
              <w:bottom w:type="dxa" w:w="70"/>
              <w:right w:type="dxa" w:w="110"/>
            </w:tcMar>
          </w:tcPr>
          <w:p>
            <w:pPr>
              <w:spacing w:after="0" w:before="0"/>
              <w:jc w:val="left"/>
            </w:pPr>
            <w:r>
              <w:rPr>
                <w:sz w:val="22"/>
                <w:szCs w:val="22"/>
              </w:rPr>
              <w:t xml:space="preserve">Varnishing / painting area</w:t>
            </w:r>
          </w:p>
        </w:tc>
        <w:tc>
          <w:tcPr>
            <w:tcW w:type="pct" w:w="25%"/>
            <w:shd w:fill="FAF7F2" w:color="auto" w:val="clear"/>
            <w:tcMar>
              <w:top w:type="dxa" w:w="70"/>
              <w:left w:type="dxa" w:w="110"/>
              <w:bottom w:type="dxa" w:w="70"/>
              <w:right w:type="dxa" w:w="110"/>
            </w:tcMar>
          </w:tcPr>
          <w:p>
            <w:pPr>
              <w:spacing w:after="0" w:before="0"/>
              <w:jc w:val="left"/>
            </w:pPr>
            <w:r>
              <w:rPr>
                <w:sz w:val="22"/>
                <w:szCs w:val="22"/>
              </w:rPr>
              <w:t xml:space="preserve">CO² 5 kg — 55B</w:t>
            </w:r>
          </w:p>
        </w:tc>
        <w:tc>
          <w:tcPr>
            <w:tcW w:type="pct" w:w="25%"/>
            <w:shd w:fill="FAF7F2" w:color="auto" w:val="clear"/>
            <w:tcMar>
              <w:top w:type="dxa" w:w="70"/>
              <w:left w:type="dxa" w:w="110"/>
              <w:bottom w:type="dxa" w:w="70"/>
              <w:right w:type="dxa" w:w="110"/>
            </w:tcMar>
          </w:tcPr>
          <w:p>
            <w:pPr>
              <w:spacing w:after="0" w:before="0"/>
              <w:jc w:val="right"/>
            </w:pPr>
            <w:r>
              <w:rPr>
                <w:sz w:val="22"/>
                <w:szCs w:val="22"/>
              </w:rPr>
              <w:t xml:space="preserve">2</w:t>
            </w:r>
          </w:p>
        </w:tc>
        <w:tc>
          <w:tcPr>
            <w:tcW w:type="pct" w:w="25%"/>
            <w:shd w:fill="FAF7F2" w:color="auto" w:val="clear"/>
            <w:tcMar>
              <w:top w:type="dxa" w:w="70"/>
              <w:left w:type="dxa" w:w="110"/>
              <w:bottom w:type="dxa" w:w="70"/>
              <w:right w:type="dxa" w:w="110"/>
            </w:tcMar>
          </w:tcPr>
          <w:p>
            <w:pPr>
              <w:spacing w:after="0" w:before="0"/>
              <w:jc w:val="left"/>
            </w:pPr>
            <w:r>
              <w:rPr>
                <w:sz w:val="22"/>
                <w:szCs w:val="22"/>
              </w:rPr>
              <w:t xml:space="preserve">Class B</w:t>
            </w:r>
          </w:p>
        </w:tc>
      </w:tr>
      <w:tr>
        <w:tc>
          <w:tcPr>
            <w:tcW w:type="pct" w:w="25%"/>
            <w:tcMar>
              <w:top w:type="dxa" w:w="70"/>
              <w:left w:type="dxa" w:w="110"/>
              <w:bottom w:type="dxa" w:w="70"/>
              <w:right w:type="dxa" w:w="110"/>
            </w:tcMar>
          </w:tcPr>
          <w:p>
            <w:pPr>
              <w:spacing w:after="0" w:before="0"/>
              <w:jc w:val="left"/>
            </w:pPr>
            <w:r>
              <w:rPr>
                <w:sz w:val="22"/>
                <w:szCs w:val="22"/>
              </w:rPr>
              <w:t xml:space="preserve">Workshop main aisles</w:t>
            </w:r>
          </w:p>
        </w:tc>
        <w:tc>
          <w:tcPr>
            <w:tcW w:type="pct" w:w="25%"/>
            <w:tcMar>
              <w:top w:type="dxa" w:w="70"/>
              <w:left w:type="dxa" w:w="110"/>
              <w:bottom w:type="dxa" w:w="70"/>
              <w:right w:type="dxa" w:w="110"/>
            </w:tcMar>
          </w:tcPr>
          <w:p>
            <w:pPr>
              <w:spacing w:after="0" w:before="0"/>
              <w:jc w:val="left"/>
            </w:pPr>
            <w:r>
              <w:rPr>
                <w:sz w:val="22"/>
                <w:szCs w:val="22"/>
              </w:rPr>
              <w:t xml:space="preserve">ABC dry powder 6 kg — 34A/233B</w:t>
            </w:r>
          </w:p>
        </w:tc>
        <w:tc>
          <w:tcPr>
            <w:tcW w:type="pct" w:w="25%"/>
            <w:tcMar>
              <w:top w:type="dxa" w:w="70"/>
              <w:left w:type="dxa" w:w="110"/>
              <w:bottom w:type="dxa" w:w="70"/>
              <w:right w:type="dxa" w:w="110"/>
            </w:tcMar>
          </w:tcPr>
          <w:p>
            <w:pPr>
              <w:spacing w:after="0" w:before="0"/>
              <w:jc w:val="right"/>
            </w:pPr>
            <w:r>
              <w:rPr>
                <w:sz w:val="22"/>
                <w:szCs w:val="22"/>
              </w:rPr>
              <w:t xml:space="preserve">3</w:t>
            </w:r>
          </w:p>
        </w:tc>
        <w:tc>
          <w:tcPr>
            <w:tcW w:type="pct" w:w="25%"/>
            <w:tcMar>
              <w:top w:type="dxa" w:w="70"/>
              <w:left w:type="dxa" w:w="110"/>
              <w:bottom w:type="dxa" w:w="70"/>
              <w:right w:type="dxa" w:w="110"/>
            </w:tcMar>
          </w:tcPr>
          <w:p>
            <w:pPr>
              <w:spacing w:after="0" w:before="0"/>
              <w:jc w:val="left"/>
            </w:pPr>
            <w:r>
              <w:rPr>
                <w:sz w:val="22"/>
                <w:szCs w:val="22"/>
              </w:rPr>
              <w:t xml:space="preserve">Class A+B polyvalent</w:t>
            </w:r>
          </w:p>
        </w:tc>
      </w:tr>
      <w:tr>
        <w:tc>
          <w:tcPr>
            <w:tcW w:type="pct" w:w="25%"/>
            <w:shd w:fill="FAF7F2" w:color="auto" w:val="clear"/>
            <w:tcMar>
              <w:top w:type="dxa" w:w="70"/>
              <w:left w:type="dxa" w:w="110"/>
              <w:bottom w:type="dxa" w:w="70"/>
              <w:right w:type="dxa" w:w="110"/>
            </w:tcMar>
          </w:tcPr>
          <w:p>
            <w:pPr>
              <w:spacing w:after="0" w:before="0"/>
              <w:jc w:val="left"/>
            </w:pPr>
            <w:r>
              <w:rPr>
                <w:sz w:val="22"/>
                <w:szCs w:val="22"/>
              </w:rPr>
              <w:t xml:space="preserve">MLVDB panel + HTA substation</w:t>
            </w:r>
          </w:p>
        </w:tc>
        <w:tc>
          <w:tcPr>
            <w:tcW w:type="pct" w:w="25%"/>
            <w:shd w:fill="FAF7F2" w:color="auto" w:val="clear"/>
            <w:tcMar>
              <w:top w:type="dxa" w:w="70"/>
              <w:left w:type="dxa" w:w="110"/>
              <w:bottom w:type="dxa" w:w="70"/>
              <w:right w:type="dxa" w:w="110"/>
            </w:tcMar>
          </w:tcPr>
          <w:p>
            <w:pPr>
              <w:spacing w:after="0" w:before="0"/>
              <w:jc w:val="left"/>
            </w:pPr>
            <w:r>
              <w:rPr>
                <w:sz w:val="22"/>
                <w:szCs w:val="22"/>
              </w:rPr>
              <w:t xml:space="preserve">CO² 2 kg</w:t>
            </w:r>
          </w:p>
        </w:tc>
        <w:tc>
          <w:tcPr>
            <w:tcW w:type="pct" w:w="25%"/>
            <w:shd w:fill="FAF7F2" w:color="auto" w:val="clear"/>
            <w:tcMar>
              <w:top w:type="dxa" w:w="70"/>
              <w:left w:type="dxa" w:w="110"/>
              <w:bottom w:type="dxa" w:w="70"/>
              <w:right w:type="dxa" w:w="110"/>
            </w:tcMar>
          </w:tcPr>
          <w:p>
            <w:pPr>
              <w:spacing w:after="0" w:before="0"/>
              <w:jc w:val="right"/>
            </w:pPr>
            <w:r>
              <w:rPr>
                <w:sz w:val="22"/>
                <w:szCs w:val="22"/>
              </w:rPr>
              <w:t xml:space="preserve">2</w:t>
            </w:r>
          </w:p>
        </w:tc>
        <w:tc>
          <w:tcPr>
            <w:tcW w:type="pct" w:w="25%"/>
            <w:shd w:fill="FAF7F2" w:color="auto" w:val="clear"/>
            <w:tcMar>
              <w:top w:type="dxa" w:w="70"/>
              <w:left w:type="dxa" w:w="110"/>
              <w:bottom w:type="dxa" w:w="70"/>
              <w:right w:type="dxa" w:w="110"/>
            </w:tcMar>
          </w:tcPr>
          <w:p>
            <w:pPr>
              <w:spacing w:after="0" w:before="0"/>
              <w:jc w:val="left"/>
            </w:pPr>
            <w:r>
              <w:rPr>
                <w:sz w:val="22"/>
                <w:szCs w:val="22"/>
              </w:rPr>
              <w:t xml:space="preserve">Class E (electrical)</w:t>
            </w:r>
          </w:p>
        </w:tc>
      </w:tr>
      <w:tr>
        <w:tc>
          <w:tcPr>
            <w:tcW w:type="pct" w:w="25%"/>
            <w:tcMar>
              <w:top w:type="dxa" w:w="70"/>
              <w:left w:type="dxa" w:w="110"/>
              <w:bottom w:type="dxa" w:w="70"/>
              <w:right w:type="dxa" w:w="110"/>
            </w:tcMar>
          </w:tcPr>
          <w:p>
            <w:pPr>
              <w:spacing w:after="0" w:before="0"/>
              <w:jc w:val="left"/>
            </w:pPr>
            <w:r>
              <w:rPr>
                <w:sz w:val="22"/>
                <w:szCs w:val="22"/>
              </w:rPr>
              <w:t xml:space="preserve">Showroom (furniture, décor)</w:t>
            </w:r>
          </w:p>
        </w:tc>
        <w:tc>
          <w:tcPr>
            <w:tcW w:type="pct" w:w="25%"/>
            <w:tcMar>
              <w:top w:type="dxa" w:w="70"/>
              <w:left w:type="dxa" w:w="110"/>
              <w:bottom w:type="dxa" w:w="70"/>
              <w:right w:type="dxa" w:w="110"/>
            </w:tcMar>
          </w:tcPr>
          <w:p>
            <w:pPr>
              <w:spacing w:after="0" w:before="0"/>
              <w:jc w:val="left"/>
            </w:pPr>
            <w:r>
              <w:rPr>
                <w:sz w:val="22"/>
                <w:szCs w:val="22"/>
              </w:rPr>
              <w:t xml:space="preserve">Water mist 6 L — 21A</w:t>
            </w:r>
          </w:p>
        </w:tc>
        <w:tc>
          <w:tcPr>
            <w:tcW w:type="pct" w:w="25%"/>
            <w:tcMar>
              <w:top w:type="dxa" w:w="70"/>
              <w:left w:type="dxa" w:w="110"/>
              <w:bottom w:type="dxa" w:w="70"/>
              <w:right w:type="dxa" w:w="110"/>
            </w:tcMar>
          </w:tcPr>
          <w:p>
            <w:pPr>
              <w:spacing w:after="0" w:before="0"/>
              <w:jc w:val="right"/>
            </w:pPr>
            <w:r>
              <w:rPr>
                <w:sz w:val="22"/>
                <w:szCs w:val="22"/>
              </w:rPr>
              <w:t xml:space="preserve">3</w:t>
            </w:r>
          </w:p>
        </w:tc>
        <w:tc>
          <w:tcPr>
            <w:tcW w:type="pct" w:w="25%"/>
            <w:tcMar>
              <w:top w:type="dxa" w:w="70"/>
              <w:left w:type="dxa" w:w="110"/>
              <w:bottom w:type="dxa" w:w="70"/>
              <w:right w:type="dxa" w:w="110"/>
            </w:tcMar>
          </w:tcPr>
          <w:p>
            <w:pPr>
              <w:spacing w:after="0" w:before="0"/>
              <w:jc w:val="left"/>
            </w:pPr>
            <w:r>
              <w:rPr>
                <w:sz w:val="22"/>
                <w:szCs w:val="22"/>
              </w:rPr>
              <w:t xml:space="preserve">Class A</w:t>
            </w:r>
          </w:p>
        </w:tc>
      </w:tr>
      <w:tr>
        <w:tc>
          <w:tcPr>
            <w:tcW w:type="pct" w:w="25%"/>
            <w:shd w:fill="FAF7F2" w:color="auto" w:val="clear"/>
            <w:tcMar>
              <w:top w:type="dxa" w:w="70"/>
              <w:left w:type="dxa" w:w="110"/>
              <w:bottom w:type="dxa" w:w="70"/>
              <w:right w:type="dxa" w:w="110"/>
            </w:tcMar>
          </w:tcPr>
          <w:p>
            <w:pPr>
              <w:spacing w:after="0" w:before="0"/>
              <w:jc w:val="left"/>
            </w:pPr>
            <w:r>
              <w:rPr>
                <w:sz w:val="22"/>
                <w:szCs w:val="22"/>
              </w:rPr>
              <w:t xml:space="preserve">Offices (IT equipment)</w:t>
            </w:r>
          </w:p>
        </w:tc>
        <w:tc>
          <w:tcPr>
            <w:tcW w:type="pct" w:w="25%"/>
            <w:shd w:fill="FAF7F2" w:color="auto" w:val="clear"/>
            <w:tcMar>
              <w:top w:type="dxa" w:w="70"/>
              <w:left w:type="dxa" w:w="110"/>
              <w:bottom w:type="dxa" w:w="70"/>
              <w:right w:type="dxa" w:w="110"/>
            </w:tcMar>
          </w:tcPr>
          <w:p>
            <w:pPr>
              <w:spacing w:after="0" w:before="0"/>
              <w:jc w:val="left"/>
            </w:pPr>
            <w:r>
              <w:rPr>
                <w:sz w:val="22"/>
                <w:szCs w:val="22"/>
              </w:rPr>
              <w:t xml:space="preserve">CO² 2 kg</w:t>
            </w:r>
          </w:p>
        </w:tc>
        <w:tc>
          <w:tcPr>
            <w:tcW w:type="pct" w:w="25%"/>
            <w:shd w:fill="FAF7F2" w:color="auto" w:val="clear"/>
            <w:tcMar>
              <w:top w:type="dxa" w:w="70"/>
              <w:left w:type="dxa" w:w="110"/>
              <w:bottom w:type="dxa" w:w="70"/>
              <w:right w:type="dxa" w:w="110"/>
            </w:tcMar>
          </w:tcPr>
          <w:p>
            <w:pPr>
              <w:spacing w:after="0" w:before="0"/>
              <w:jc w:val="right"/>
            </w:pPr>
            <w:r>
              <w:rPr>
                <w:sz w:val="22"/>
                <w:szCs w:val="22"/>
              </w:rPr>
              <w:t xml:space="preserve">2</w:t>
            </w:r>
          </w:p>
        </w:tc>
        <w:tc>
          <w:tcPr>
            <w:tcW w:type="pct" w:w="25%"/>
            <w:shd w:fill="FAF7F2" w:color="auto" w:val="clear"/>
            <w:tcMar>
              <w:top w:type="dxa" w:w="70"/>
              <w:left w:type="dxa" w:w="110"/>
              <w:bottom w:type="dxa" w:w="70"/>
              <w:right w:type="dxa" w:w="110"/>
            </w:tcMar>
          </w:tcPr>
          <w:p>
            <w:pPr>
              <w:spacing w:after="0" w:before="0"/>
              <w:jc w:val="left"/>
            </w:pPr>
            <w:r>
              <w:rPr>
                <w:sz w:val="22"/>
                <w:szCs w:val="22"/>
              </w:rPr>
              <w:t xml:space="preserve">Class E (electrical)</w:t>
            </w:r>
          </w:p>
        </w:tc>
      </w:tr>
      <w:tr>
        <w:tc>
          <w:tcPr>
            <w:tcW w:type="pct" w:w="25%"/>
            <w:shd w:fill="E5E1D8" w:color="auto" w:val="clear"/>
            <w:tcMar>
              <w:top w:type="dxa" w:w="70"/>
              <w:left w:type="dxa" w:w="110"/>
              <w:bottom w:type="dxa" w:w="70"/>
              <w:right w:type="dxa" w:w="110"/>
            </w:tcMar>
          </w:tcPr>
          <w:p>
            <w:pPr>
              <w:spacing w:after="0" w:before="0"/>
              <w:jc w:val="left"/>
            </w:pPr>
            <w:r>
              <w:rPr>
                <w:b/>
                <w:bCs/>
                <w:color w:val="1A1F2E"/>
                <w:sz w:val="22"/>
                <w:szCs w:val="22"/>
              </w:rPr>
              <w:t xml:space="preserve">TOTAL</w:t>
            </w:r>
          </w:p>
        </w:tc>
        <w:tc>
          <w:tcPr>
            <w:tcW w:type="pct" w:w="25%"/>
            <w:shd w:fill="E5E1D8" w:color="auto" w:val="clear"/>
            <w:tcMar>
              <w:top w:type="dxa" w:w="70"/>
              <w:left w:type="dxa" w:w="110"/>
              <w:bottom w:type="dxa" w:w="70"/>
              <w:right w:type="dxa" w:w="110"/>
            </w:tcMar>
          </w:tcPr>
          <w:p>
            <w:pPr>
              <w:spacing w:after="0" w:before="0"/>
              <w:jc w:val="left"/>
            </w:pPr>
            <w:r>
              <w:rPr>
                <w:b/>
                <w:bCs/>
                <w:color w:val="1A1F2E"/>
                <w:sz w:val="22"/>
                <w:szCs w:val="22"/>
              </w:rPr>
              <w:t xml:space="preserve"/>
            </w:r>
          </w:p>
        </w:tc>
        <w:tc>
          <w:tcPr>
            <w:tcW w:type="pct" w:w="25%"/>
            <w:shd w:fill="E5E1D8" w:color="auto" w:val="clear"/>
            <w:tcMar>
              <w:top w:type="dxa" w:w="70"/>
              <w:left w:type="dxa" w:w="110"/>
              <w:bottom w:type="dxa" w:w="70"/>
              <w:right w:type="dxa" w:w="110"/>
            </w:tcMar>
          </w:tcPr>
          <w:p>
            <w:pPr>
              <w:spacing w:after="0" w:before="0"/>
              <w:jc w:val="right"/>
            </w:pPr>
            <w:r>
              <w:rPr>
                <w:b/>
                <w:bCs/>
                <w:color w:val="1A1F2E"/>
                <w:sz w:val="22"/>
                <w:szCs w:val="22"/>
              </w:rPr>
              <w:t xml:space="preserve">16</w:t>
            </w:r>
          </w:p>
        </w:tc>
        <w:tc>
          <w:tcPr>
            <w:tcW w:type="pct" w:w="25%"/>
            <w:shd w:fill="E5E1D8" w:color="auto" w:val="clear"/>
            <w:tcMar>
              <w:top w:type="dxa" w:w="70"/>
              <w:left w:type="dxa" w:w="110"/>
              <w:bottom w:type="dxa" w:w="70"/>
              <w:right w:type="dxa" w:w="110"/>
            </w:tcMar>
          </w:tcPr>
          <w:p>
            <w:pPr>
              <w:spacing w:after="0" w:before="0"/>
              <w:jc w:val="left"/>
            </w:pPr>
            <w:r>
              <w:rPr>
                <w:b/>
                <w:bCs/>
                <w:color w:val="1A1F2E"/>
                <w:sz w:val="22"/>
                <w:szCs w:val="22"/>
              </w:rPr>
              <w:t xml:space="preserve"/>
            </w:r>
          </w:p>
        </w:tc>
      </w:tr>
    </w:tbl>
    <w:p/>
    <w:p/>
    <w:p>
      <w:pPr>
        <w:spacing w:after="120" w:line="320"/>
        <w:jc w:val="both"/>
      </w:pPr>
      <w:r>
        <w:t xml:space="preserve">All extinguishers are subject to </w:t>
      </w:r>
      <w:r>
        <w:rPr>
          <w:b/>
          <w:bCs/>
        </w:rPr>
        <w:t xml:space="preserve">monthly visual inspection</w:t>
      </w:r>
      <w:r>
        <w:t xml:space="preserve"> by the Fire Safety Officer and </w:t>
      </w:r>
      <w:r>
        <w:rPr>
          <w:b/>
          <w:bCs/>
        </w:rPr>
        <w:t xml:space="preserve">annual servicing</w:t>
      </w:r>
      <w:r>
        <w:t xml:space="preserve"> by a licensed technician — entries recorded in the safety register.</w:t>
      </w:r>
    </w:p>
    <w:p/>
    <w:p>
      <w:pPr>
        <w:pStyle w:val="Heading3"/>
      </w:pPr>
      <w:bookmarkStart w:name="nexia_h_214" w:id="1"/>
      <w:r>
        <w:rPr>
          <w:b/>
          <w:bCs/>
        </w:rPr>
        <w:t xml:space="preserve">1.7.2.  </w:t>
      </w:r>
      <w:r>
        <w:t xml:space="preserve">Fire Hose Reels (FHR)</w:t>
      </w:r>
      <w:bookmarkEnd w:id="1"/>
    </w:p>
    <w:p/>
    <w:p>
      <w:pPr>
        <w:spacing w:after="120" w:line="320"/>
        <w:jc w:val="both"/>
      </w:pPr>
      <w:r>
        <w:rPr>
          <w:b/>
          <w:bCs/>
        </w:rPr>
        <w:t xml:space="preserve">Selected type:</w:t>
      </w:r>
      <w:r>
        <w:t xml:space="preserve"> FHR DN 19/6 — minimum flow rate 24 L/min at 2.5 bar — 20 m semi-rigid hose — jet reach ≥ 6 m — standard NF EN 671-1.</w:t>
      </w:r>
    </w:p>
    <w:p/>
    <w:p>
      <w:pPr>
        <w:spacing w:after="120" w:line="320"/>
        <w:jc w:val="both"/>
      </w:pPr>
      <w:r>
        <w:rPr>
          <w:b/>
          <w:bCs/>
        </w:rPr>
        <w:t xml:space="preserve">Coverage radius per FHR:</w:t>
      </w:r>
    </w:p>
    <w:p/>
    <w:p>
      <w:pPr>
        <w:spacing w:after="120" w:line="320"/>
        <w:jc w:val="both"/>
      </w:pPr>
      <w:r>
        <w:t xml:space="preserve">r_FHR = L_hose + L_jet = 20 + 6 = 26 m</w:t>
      </w:r>
    </w:p>
    <w:p/>
    <w:p>
      <w:pPr>
        <w:spacing w:after="120" w:line="320"/>
        <w:jc w:val="both"/>
      </w:pPr>
      <w:r>
        <w:t xml:space="preserve">where:</w:t>
      </w:r>
    </w:p>
    <w:p>
      <w:pPr>
        <w:pStyle w:val="ListParagraph"/>
        <w:numPr>
          <w:ilvl w:val="0"/>
          <w:numId w:val="1"/>
        </w:numPr>
        <w:spacing w:line="300"/>
      </w:pPr>
      <w:r>
        <w:t xml:space="preserve">r_FHR — effective operational coverage radius of one fire hose reel, in m</w:t>
      </w:r>
    </w:p>
    <w:p>
      <w:pPr>
        <w:pStyle w:val="ListParagraph"/>
        <w:numPr>
          <w:ilvl w:val="0"/>
          <w:numId w:val="1"/>
        </w:numPr>
        <w:spacing w:line="300"/>
      </w:pPr>
      <w:r>
        <w:t xml:space="preserve">L_hose — semi-rigid hose length = 20 m</w:t>
      </w:r>
    </w:p>
    <w:p>
      <w:pPr>
        <w:pStyle w:val="ListParagraph"/>
        <w:numPr>
          <w:ilvl w:val="0"/>
          <w:numId w:val="1"/>
        </w:numPr>
        <w:spacing w:line="300"/>
      </w:pPr>
      <w:r>
        <w:t xml:space="preserve">L_jet — water jet throw reach from nozzle = 6 m</w:t>
      </w:r>
    </w:p>
    <w:p/>
    <w:p>
      <w:pPr>
        <w:spacing w:after="120" w:line="320"/>
        <w:jc w:val="both"/>
      </w:pPr>
      <w:r>
        <w:t xml:space="preserve">A_covered = π × r_FHR² = π × 26² ≈ 2,124 m² per FHR</w:t>
      </w:r>
    </w:p>
    <w:p/>
    <w:p>
      <w:pPr>
        <w:spacing w:after="120" w:line="320"/>
        <w:jc w:val="both"/>
      </w:pPr>
      <w:r>
        <w:t xml:space="preserve">→ One FHR covers the entire 400 m² workshop floor area. </w:t>
      </w:r>
      <w:r>
        <w:rPr>
          <w:b/>
          <w:bCs/>
        </w:rPr>
        <w:t xml:space="preserve">Two are installed</w:t>
      </w:r>
      <w:r>
        <w:t xml:space="preserve"> for redundancy and simultaneous two-person attack capability.</w:t>
      </w:r>
    </w:p>
    <w:p/>
    <w:tbl>
      <w:tblPr>
        <w:tblW w:type="pct" w:w="100%"/>
        <w:tblBorders>
          <w:top w:val="single" w:color="BFBFBF" w:sz="6"/>
          <w:left w:val="single" w:color="BFBFBF" w:sz="6"/>
          <w:bottom w:val="single" w:color="BFBFBF" w:sz="6"/>
          <w:right w:val="single" w:color="BFBFBF" w:sz="6"/>
          <w:insideH w:val="single" w:color="BFBFBF" w:sz="6"/>
          <w:insideV w:val="single" w:color="BFBFBF" w:sz="6"/>
        </w:tblBorders>
      </w:tblPr>
      <w:tblGrid>
        <w:gridCol w:w="100"/>
        <w:gridCol w:w="100"/>
        <w:gridCol w:w="100"/>
      </w:tblGrid>
      <w:tr>
        <w:trPr>
          <w:tblHeader/>
        </w:trPr>
        <w:tc>
          <w:tcPr>
            <w:tcW w:type="pct" w:w="33%"/>
            <w:shd w:fill="1A1F2E" w:color="auto" w:val="clear"/>
            <w:tcMar>
              <w:top w:type="dxa" w:w="100"/>
              <w:left w:type="dxa" w:w="110"/>
              <w:bottom w:type="dxa" w:w="100"/>
              <w:right w:type="dxa" w:w="110"/>
            </w:tcMar>
          </w:tcPr>
          <w:p>
            <w:pPr>
              <w:spacing w:after="0" w:before="0"/>
              <w:jc w:val="left"/>
            </w:pPr>
            <w:r>
              <w:rPr>
                <w:b/>
                <w:bCs/>
                <w:color w:val="FFFFFF"/>
                <w:sz w:val="22"/>
                <w:szCs w:val="22"/>
              </w:rPr>
              <w:t xml:space="preserve">FHR No.</w:t>
            </w:r>
          </w:p>
        </w:tc>
        <w:tc>
          <w:tcPr>
            <w:tcW w:type="pct" w:w="33%"/>
            <w:shd w:fill="1A1F2E" w:color="auto" w:val="clear"/>
            <w:tcMar>
              <w:top w:type="dxa" w:w="100"/>
              <w:left w:type="dxa" w:w="110"/>
              <w:bottom w:type="dxa" w:w="100"/>
              <w:right w:type="dxa" w:w="110"/>
            </w:tcMar>
          </w:tcPr>
          <w:p>
            <w:pPr>
              <w:spacing w:after="0" w:before="0"/>
              <w:jc w:val="left"/>
            </w:pPr>
            <w:r>
              <w:rPr>
                <w:b/>
                <w:bCs/>
                <w:color w:val="FFFFFF"/>
                <w:sz w:val="22"/>
                <w:szCs w:val="22"/>
              </w:rPr>
              <w:t xml:space="preserve">Location</w:t>
            </w:r>
          </w:p>
        </w:tc>
        <w:tc>
          <w:tcPr>
            <w:tcW w:type="pct" w:w="33%"/>
            <w:shd w:fill="1A1F2E" w:color="auto" w:val="clear"/>
            <w:tcMar>
              <w:top w:type="dxa" w:w="100"/>
              <w:left w:type="dxa" w:w="110"/>
              <w:bottom w:type="dxa" w:w="100"/>
              <w:right w:type="dxa" w:w="110"/>
            </w:tcMar>
          </w:tcPr>
          <w:p>
            <w:pPr>
              <w:spacing w:after="0" w:before="0"/>
              <w:jc w:val="left"/>
            </w:pPr>
            <w:r>
              <w:rPr>
                <w:b/>
                <w:bCs/>
                <w:color w:val="FFFFFF"/>
                <w:sz w:val="22"/>
                <w:szCs w:val="22"/>
              </w:rPr>
              <w:t xml:space="preserve">Mounting height</w:t>
            </w:r>
          </w:p>
        </w:tc>
      </w:tr>
      <w:tr>
        <w:tc>
          <w:tcPr>
            <w:tcW w:type="pct" w:w="33%"/>
            <w:tcMar>
              <w:top w:type="dxa" w:w="70"/>
              <w:left w:type="dxa" w:w="110"/>
              <w:bottom w:type="dxa" w:w="70"/>
              <w:right w:type="dxa" w:w="110"/>
            </w:tcMar>
          </w:tcPr>
          <w:p>
            <w:pPr>
              <w:spacing w:after="0" w:before="0"/>
              <w:jc w:val="left"/>
            </w:pPr>
            <w:r>
              <w:rPr>
                <w:sz w:val="22"/>
                <w:szCs w:val="22"/>
              </w:rPr>
              <w:t xml:space="preserve">FHR-01</w:t>
            </w:r>
          </w:p>
        </w:tc>
        <w:tc>
          <w:tcPr>
            <w:tcW w:type="pct" w:w="33%"/>
            <w:tcMar>
              <w:top w:type="dxa" w:w="70"/>
              <w:left w:type="dxa" w:w="110"/>
              <w:bottom w:type="dxa" w:w="70"/>
              <w:right w:type="dxa" w:w="110"/>
            </w:tcMar>
          </w:tcPr>
          <w:p>
            <w:pPr>
              <w:spacing w:after="0" w:before="0"/>
              <w:jc w:val="left"/>
            </w:pPr>
            <w:r>
              <w:rPr>
                <w:sz w:val="22"/>
                <w:szCs w:val="22"/>
              </w:rPr>
              <w:t xml:space="preserve">Workshop — north entrance wall</w:t>
            </w:r>
          </w:p>
        </w:tc>
        <w:tc>
          <w:tcPr>
            <w:tcW w:type="pct" w:w="33%"/>
            <w:tcMar>
              <w:top w:type="dxa" w:w="70"/>
              <w:left w:type="dxa" w:w="110"/>
              <w:bottom w:type="dxa" w:w="70"/>
              <w:right w:type="dxa" w:w="110"/>
            </w:tcMar>
          </w:tcPr>
          <w:p>
            <w:pPr>
              <w:spacing w:after="0" w:before="0"/>
              <w:jc w:val="left"/>
            </w:pPr>
            <w:r>
              <w:rPr>
                <w:sz w:val="22"/>
                <w:szCs w:val="22"/>
              </w:rPr>
              <w:t xml:space="preserve">1.10 m</w:t>
            </w:r>
          </w:p>
        </w:tc>
      </w:tr>
      <w:tr>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FHR-02</w:t>
            </w:r>
          </w:p>
        </w:tc>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Workshop — south exit wall</w:t>
            </w:r>
          </w:p>
        </w:tc>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1.10 m</w:t>
            </w:r>
          </w:p>
        </w:tc>
      </w:tr>
    </w:tbl>
    <w:p/>
    <w:p/>
    <w:p>
      <w:pPr>
        <w:spacing w:after="120" w:line="320"/>
        <w:jc w:val="both"/>
      </w:pPr>
      <w:r>
        <w:rPr>
          <w:b/>
          <w:bCs/>
        </w:rPr>
        <w:t xml:space="preserve">Water supply:</w:t>
      </w:r>
      <w:r>
        <w:t xml:space="preserve"> SENELEC-Eau mains network — minimum 3 bar dynamic pressure — pressure reducer + non-return valve installed at each FHR connection.</w:t>
      </w:r>
    </w:p>
    <w:p/>
    <w:p>
      <w:pPr>
        <w:pStyle w:val="Heading3"/>
      </w:pPr>
      <w:bookmarkStart w:name="nexia_h_235" w:id="1"/>
      <w:r>
        <w:rPr>
          <w:b/>
          <w:bCs/>
        </w:rPr>
        <w:t xml:space="preserve">1.7.3.  </w:t>
      </w:r>
      <w:r>
        <w:t xml:space="preserve">Fire Water Reserve</w:t>
      </w:r>
      <w:bookmarkEnd w:id="1"/>
    </w:p>
    <w:p/>
    <w:p>
      <w:pPr>
        <w:spacing w:after="120" w:line="320"/>
        <w:jc w:val="both"/>
      </w:pPr>
      <w:r>
        <w:t xml:space="preserve">Given the uncertainty of mains pressure and supply continuity at Ngoundiane, a fixed on-site fire water reserve is required:</w:t>
      </w:r>
    </w:p>
    <w:p/>
    <w:tbl>
      <w:tblPr>
        <w:tblW w:type="pct" w:w="100%"/>
        <w:tblBorders>
          <w:top w:val="single" w:color="BFBFBF" w:sz="6"/>
          <w:left w:val="single" w:color="BFBFBF" w:sz="6"/>
          <w:bottom w:val="single" w:color="BFBFBF" w:sz="6"/>
          <w:right w:val="single" w:color="BFBFBF" w:sz="6"/>
          <w:insideH w:val="single" w:color="BFBFBF" w:sz="6"/>
          <w:insideV w:val="single" w:color="BFBFBF" w:sz="6"/>
        </w:tblBorders>
      </w:tblPr>
      <w:tblGrid>
        <w:gridCol w:w="100"/>
        <w:gridCol w:w="100"/>
      </w:tblGrid>
      <w:tr>
        <w:trPr>
          <w:tblHeader/>
        </w:trPr>
        <w:tc>
          <w:tcPr>
            <w:tcW w:type="pct" w:w="50%"/>
            <w:shd w:fill="1A1F2E" w:color="auto" w:val="clear"/>
            <w:tcMar>
              <w:top w:type="dxa" w:w="100"/>
              <w:left w:type="dxa" w:w="110"/>
              <w:bottom w:type="dxa" w:w="100"/>
              <w:right w:type="dxa" w:w="110"/>
            </w:tcMar>
          </w:tcPr>
          <w:p>
            <w:pPr>
              <w:spacing w:after="0" w:before="0"/>
              <w:jc w:val="left"/>
            </w:pPr>
            <w:r>
              <w:rPr>
                <w:b/>
                <w:bCs/>
                <w:color w:val="FFFFFF"/>
                <w:sz w:val="22"/>
                <w:szCs w:val="22"/>
              </w:rPr>
              <w:t xml:space="preserve">Parameter</w:t>
            </w:r>
          </w:p>
        </w:tc>
        <w:tc>
          <w:tcPr>
            <w:tcW w:type="pct" w:w="50%"/>
            <w:shd w:fill="1A1F2E" w:color="auto" w:val="clear"/>
            <w:tcMar>
              <w:top w:type="dxa" w:w="100"/>
              <w:left w:type="dxa" w:w="110"/>
              <w:bottom w:type="dxa" w:w="100"/>
              <w:right w:type="dxa" w:w="110"/>
            </w:tcMar>
          </w:tcPr>
          <w:p>
            <w:pPr>
              <w:spacing w:after="0" w:before="0"/>
              <w:jc w:val="left"/>
            </w:pPr>
            <w:r>
              <w:rPr>
                <w:b/>
                <w:bCs/>
                <w:color w:val="FFFFFF"/>
                <w:sz w:val="22"/>
                <w:szCs w:val="22"/>
              </w:rPr>
              <w:t xml:space="preserve">Value</w:t>
            </w:r>
          </w:p>
        </w:tc>
      </w:tr>
      <w:tr>
        <w:tc>
          <w:tcPr>
            <w:tcW w:type="pct" w:w="50%"/>
            <w:tcMar>
              <w:top w:type="dxa" w:w="70"/>
              <w:left w:type="dxa" w:w="110"/>
              <w:bottom w:type="dxa" w:w="70"/>
              <w:right w:type="dxa" w:w="110"/>
            </w:tcMar>
          </w:tcPr>
          <w:p>
            <w:pPr>
              <w:spacing w:after="0" w:before="0"/>
              <w:jc w:val="left"/>
            </w:pPr>
            <w:r>
              <w:rPr>
                <w:sz w:val="22"/>
                <w:szCs w:val="22"/>
              </w:rPr>
              <w:t xml:space="preserve">Recommended volume</w:t>
            </w:r>
          </w:p>
        </w:tc>
        <w:tc>
          <w:tcPr>
            <w:tcW w:type="pct" w:w="50%"/>
            <w:tcMar>
              <w:top w:type="dxa" w:w="70"/>
              <w:left w:type="dxa" w:w="110"/>
              <w:bottom w:type="dxa" w:w="70"/>
              <w:right w:type="dxa" w:w="110"/>
            </w:tcMar>
          </w:tcPr>
          <w:p>
            <w:pPr>
              <w:spacing w:after="0" w:before="0"/>
              <w:jc w:val="left"/>
            </w:pPr>
            <w:r>
              <w:rPr>
                <w:sz w:val="22"/>
                <w:szCs w:val="22"/>
              </w:rPr>
              <w:t xml:space="preserve">120 m³ minimum (2-hour extinction at 60 L/min)</w:t>
            </w:r>
          </w:p>
        </w:tc>
      </w:tr>
      <w:tr>
        <w:tc>
          <w:tcPr>
            <w:tcW w:type="pct" w:w="50%"/>
            <w:shd w:fill="FAF7F2" w:color="auto" w:val="clear"/>
            <w:tcMar>
              <w:top w:type="dxa" w:w="70"/>
              <w:left w:type="dxa" w:w="110"/>
              <w:bottom w:type="dxa" w:w="70"/>
              <w:right w:type="dxa" w:w="110"/>
            </w:tcMar>
          </w:tcPr>
          <w:p>
            <w:pPr>
              <w:spacing w:after="0" w:before="0"/>
              <w:jc w:val="left"/>
            </w:pPr>
            <w:r>
              <w:rPr>
                <w:sz w:val="22"/>
                <w:szCs w:val="22"/>
              </w:rPr>
              <w:t xml:space="preserve">Tank type</w:t>
            </w:r>
          </w:p>
        </w:tc>
        <w:tc>
          <w:tcPr>
            <w:tcW w:type="pct" w:w="50%"/>
            <w:shd w:fill="FAF7F2" w:color="auto" w:val="clear"/>
            <w:tcMar>
              <w:top w:type="dxa" w:w="70"/>
              <w:left w:type="dxa" w:w="110"/>
              <w:bottom w:type="dxa" w:w="70"/>
              <w:right w:type="dxa" w:w="110"/>
            </w:tcMar>
          </w:tcPr>
          <w:p>
            <w:pPr>
              <w:spacing w:after="0" w:before="0"/>
              <w:jc w:val="left"/>
            </w:pPr>
            <w:r>
              <w:rPr>
                <w:sz w:val="22"/>
                <w:szCs w:val="22"/>
              </w:rPr>
              <w:t xml:space="preserve">Underground reinforced concrete or high-density polyethylene</w:t>
            </w:r>
          </w:p>
        </w:tc>
      </w:tr>
      <w:tr>
        <w:tc>
          <w:tcPr>
            <w:tcW w:type="pct" w:w="50%"/>
            <w:tcMar>
              <w:top w:type="dxa" w:w="70"/>
              <w:left w:type="dxa" w:w="110"/>
              <w:bottom w:type="dxa" w:w="70"/>
              <w:right w:type="dxa" w:w="110"/>
            </w:tcMar>
          </w:tcPr>
          <w:p>
            <w:pPr>
              <w:spacing w:after="0" w:before="0"/>
              <w:jc w:val="left"/>
            </w:pPr>
            <w:r>
              <w:rPr>
                <w:sz w:val="22"/>
                <w:szCs w:val="22"/>
              </w:rPr>
              <w:t xml:space="preserve">Fire brigade suction point</w:t>
            </w:r>
          </w:p>
        </w:tc>
        <w:tc>
          <w:tcPr>
            <w:tcW w:type="pct" w:w="50%"/>
            <w:tcMar>
              <w:top w:type="dxa" w:w="70"/>
              <w:left w:type="dxa" w:w="110"/>
              <w:bottom w:type="dxa" w:w="70"/>
              <w:right w:type="dxa" w:w="110"/>
            </w:tcMar>
          </w:tcPr>
          <w:p>
            <w:pPr>
              <w:spacing w:after="0" w:before="0"/>
              <w:jc w:val="left"/>
            </w:pPr>
            <w:r>
              <w:rPr>
                <w:sz w:val="22"/>
                <w:szCs w:val="22"/>
              </w:rPr>
              <w:t xml:space="preserve">DN 100 suction coupling — located within 60 m of workshop</w:t>
            </w:r>
          </w:p>
        </w:tc>
      </w:tr>
      <w:tr>
        <w:tc>
          <w:tcPr>
            <w:tcW w:type="pct" w:w="50%"/>
            <w:shd w:fill="FAF7F2" w:color="auto" w:val="clear"/>
            <w:tcMar>
              <w:top w:type="dxa" w:w="70"/>
              <w:left w:type="dxa" w:w="110"/>
              <w:bottom w:type="dxa" w:w="70"/>
              <w:right w:type="dxa" w:w="110"/>
            </w:tcMar>
          </w:tcPr>
          <w:p>
            <w:pPr>
              <w:spacing w:after="0" w:before="0"/>
              <w:jc w:val="left"/>
            </w:pPr>
            <w:r>
              <w:rPr>
                <w:sz w:val="22"/>
                <w:szCs w:val="22"/>
              </w:rPr>
              <w:t xml:space="preserve">Suction point signage</w:t>
            </w:r>
          </w:p>
        </w:tc>
        <w:tc>
          <w:tcPr>
            <w:tcW w:type="pct" w:w="50%"/>
            <w:shd w:fill="FAF7F2" w:color="auto" w:val="clear"/>
            <w:tcMar>
              <w:top w:type="dxa" w:w="70"/>
              <w:left w:type="dxa" w:w="110"/>
              <w:bottom w:type="dxa" w:w="70"/>
              <w:right w:type="dxa" w:w="110"/>
            </w:tcMar>
          </w:tcPr>
          <w:p>
            <w:pPr>
              <w:spacing w:after="0" w:before="0"/>
              <w:jc w:val="left"/>
            </w:pPr>
            <w:r>
              <w:rPr>
                <w:sz w:val="22"/>
                <w:szCs w:val="22"/>
              </w:rPr>
              <w:t xml:space="preserve">ISO 7010 — "FIRE WATER RESERVE — 120 m³"</w:t>
            </w:r>
          </w:p>
        </w:tc>
      </w:tr>
      <w:tr>
        <w:tc>
          <w:tcPr>
            <w:tcW w:type="pct" w:w="50%"/>
            <w:tcMar>
              <w:top w:type="dxa" w:w="70"/>
              <w:left w:type="dxa" w:w="110"/>
              <w:bottom w:type="dxa" w:w="70"/>
              <w:right w:type="dxa" w:w="110"/>
            </w:tcMar>
          </w:tcPr>
          <w:p>
            <w:pPr>
              <w:spacing w:after="0" w:before="0"/>
              <w:jc w:val="left"/>
            </w:pPr>
            <w:r>
              <w:rPr>
                <w:sz w:val="22"/>
                <w:szCs w:val="22"/>
              </w:rPr>
              <w:t xml:space="preserve">Level check frequency</w:t>
            </w:r>
          </w:p>
        </w:tc>
        <w:tc>
          <w:tcPr>
            <w:tcW w:type="pct" w:w="50%"/>
            <w:tcMar>
              <w:top w:type="dxa" w:w="70"/>
              <w:left w:type="dxa" w:w="110"/>
              <w:bottom w:type="dxa" w:w="70"/>
              <w:right w:type="dxa" w:w="110"/>
            </w:tcMar>
          </w:tcPr>
          <w:p>
            <w:pPr>
              <w:spacing w:after="0" w:before="0"/>
              <w:jc w:val="left"/>
            </w:pPr>
            <w:r>
              <w:rPr>
                <w:sz w:val="22"/>
                <w:szCs w:val="22"/>
              </w:rPr>
              <w:t xml:space="preserve">Monthly — recorded in safety register</w:t>
            </w:r>
          </w:p>
        </w:tc>
      </w:tr>
      <w:tr>
        <w:tc>
          <w:tcPr>
            <w:tcW w:type="pct" w:w="50%"/>
            <w:shd w:fill="FAF7F2" w:color="auto" w:val="clear"/>
            <w:tcMar>
              <w:top w:type="dxa" w:w="70"/>
              <w:left w:type="dxa" w:w="110"/>
              <w:bottom w:type="dxa" w:w="70"/>
              <w:right w:type="dxa" w:w="110"/>
            </w:tcMar>
          </w:tcPr>
          <w:p>
            <w:pPr>
              <w:spacing w:after="0" w:before="0"/>
              <w:jc w:val="left"/>
            </w:pPr>
            <w:r>
              <w:rPr>
                <w:sz w:val="22"/>
                <w:szCs w:val="22"/>
              </w:rPr>
              <w:t xml:space="preserve">Minimum water depth maintained</w:t>
            </w:r>
          </w:p>
        </w:tc>
        <w:tc>
          <w:tcPr>
            <w:tcW w:type="pct" w:w="50%"/>
            <w:shd w:fill="FAF7F2" w:color="auto" w:val="clear"/>
            <w:tcMar>
              <w:top w:type="dxa" w:w="70"/>
              <w:left w:type="dxa" w:w="110"/>
              <w:bottom w:type="dxa" w:w="70"/>
              <w:right w:type="dxa" w:w="110"/>
            </w:tcMar>
          </w:tcPr>
          <w:p>
            <w:pPr>
              <w:spacing w:after="0" w:before="0"/>
              <w:jc w:val="left"/>
            </w:pPr>
            <w:r>
              <w:rPr>
                <w:sz w:val="22"/>
                <w:szCs w:val="22"/>
              </w:rPr>
              <w:t xml:space="preserve">2.0 m above suction pipe inlet</w:t>
            </w:r>
          </w:p>
        </w:tc>
      </w:tr>
    </w:tbl>
    <w:p/>
    <w:p/>
    <w:p>
      <w:pPr>
        <w:pBdr>
          <w:bottom w:val="single" w:color="E5E1D8" w:sz="6" w:space="1"/>
        </w:pBdr>
        <w:spacing w:after="120" w:before="120"/>
      </w:pPr>
      <w:r>
        <w:t xml:space="preserve"/>
      </w:r>
    </w:p>
    <w:p/>
    <w:p>
      <w:pPr>
        <w:pStyle w:val="Heading2"/>
      </w:pPr>
      <w:bookmarkStart w:name="nexia_h_243" w:id="1"/>
      <w:r>
        <w:rPr>
          <w:b/>
          <w:bCs/>
        </w:rPr>
        <w:t xml:space="preserve">1.8.  </w:t>
      </w:r>
      <w:r>
        <w:t xml:space="preserve">Evacuation and Escape Routes</w:t>
      </w:r>
      <w:bookmarkEnd w:id="1"/>
    </w:p>
    <w:p/>
    <w:p>
      <w:pPr>
        <w:pStyle w:val="Heading3"/>
      </w:pPr>
      <w:bookmarkStart w:name="nexia_h_245" w:id="1"/>
      <w:r>
        <w:rPr>
          <w:b/>
          <w:bCs/>
        </w:rPr>
        <w:t xml:space="preserve">1.8.1.  </w:t>
      </w:r>
      <w:r>
        <w:t xml:space="preserve">Escape Route Widths</w:t>
      </w:r>
      <w:bookmarkEnd w:id="1"/>
    </w:p>
    <w:p/>
    <w:p>
      <w:pPr>
        <w:spacing w:after="120" w:line="320"/>
        <w:jc w:val="both"/>
      </w:pPr>
      <w:r>
        <w:t xml:space="preserve">Escape route width is calculated in </w:t>
      </w:r>
      <w:r>
        <w:rPr>
          <w:b/>
          <w:bCs/>
        </w:rPr>
        <w:t xml:space="preserve">Units of Passage (UP)</w:t>
      </w:r>
      <w:r>
        <w:t xml:space="preserve">, where 1 UP = 0.60 m of clear width. The minimum number of UPs is determined by the zone occupancy:</w:t>
      </w:r>
    </w:p>
    <w:p/>
    <w:p>
      <w:pPr>
        <w:spacing w:after="120" w:line="320"/>
        <w:jc w:val="both"/>
      </w:pPr>
      <w:r>
        <w:t xml:space="preserve">N_UP = \lceil (N_persons)/100 \rceil × 2 ≥ 2 ⇒ L_min = N_UP × 0,60 m</w:t>
      </w:r>
    </w:p>
    <w:p/>
    <w:p>
      <w:pPr>
        <w:spacing w:after="120" w:line="320"/>
        <w:jc w:val="both"/>
      </w:pPr>
      <w:r>
        <w:t xml:space="preserve">where:</w:t>
      </w:r>
    </w:p>
    <w:p>
      <w:pPr>
        <w:pStyle w:val="ListParagraph"/>
        <w:numPr>
          <w:ilvl w:val="0"/>
          <w:numId w:val="1"/>
        </w:numPr>
        <w:spacing w:line="300"/>
      </w:pPr>
      <w:r>
        <w:t xml:space="preserve">N_UP — minimum number of units of passage required for the zone</w:t>
      </w:r>
    </w:p>
    <w:p>
      <w:pPr>
        <w:pStyle w:val="ListParagraph"/>
        <w:numPr>
          <w:ilvl w:val="0"/>
          <w:numId w:val="1"/>
        </w:numPr>
        <w:spacing w:line="300"/>
      </w:pPr>
      <w:r>
        <w:t xml:space="preserve">N_persons — maximum simultaneous occupancy of the zone</w:t>
      </w:r>
    </w:p>
    <w:p>
      <w:pPr>
        <w:pStyle w:val="ListParagraph"/>
        <w:numPr>
          <w:ilvl w:val="0"/>
          <w:numId w:val="1"/>
        </w:numPr>
        <w:spacing w:line="300"/>
      </w:pPr>
      <w:r>
        <w:t xml:space="preserve">L_min — minimum required clear width of each exit, in m</w:t>
      </w:r>
    </w:p>
    <w:p/>
    <w:tbl>
      <w:tblPr>
        <w:tblW w:type="pct" w:w="100%"/>
        <w:tblBorders>
          <w:top w:val="single" w:color="BFBFBF" w:sz="6"/>
          <w:left w:val="single" w:color="BFBFBF" w:sz="6"/>
          <w:bottom w:val="single" w:color="BFBFBF" w:sz="6"/>
          <w:right w:val="single" w:color="BFBFBF" w:sz="6"/>
          <w:insideH w:val="single" w:color="BFBFBF" w:sz="6"/>
          <w:insideV w:val="single" w:color="BFBFBF" w:sz="6"/>
        </w:tblBorders>
      </w:tblPr>
      <w:tblGrid>
        <w:gridCol w:w="100"/>
        <w:gridCol w:w="100"/>
        <w:gridCol w:w="100"/>
        <w:gridCol w:w="100"/>
        <w:gridCol w:w="100"/>
      </w:tblGrid>
      <w:tr>
        <w:trPr>
          <w:tblHeader/>
        </w:trPr>
        <w:tc>
          <w:tcPr>
            <w:tcW w:type="pct" w:w="20%"/>
            <w:shd w:fill="1A1F2E" w:color="auto" w:val="clear"/>
            <w:tcMar>
              <w:top w:type="dxa" w:w="100"/>
              <w:left w:type="dxa" w:w="110"/>
              <w:bottom w:type="dxa" w:w="100"/>
              <w:right w:type="dxa" w:w="110"/>
            </w:tcMar>
          </w:tcPr>
          <w:p>
            <w:pPr>
              <w:spacing w:after="0" w:before="0"/>
              <w:jc w:val="left"/>
            </w:pPr>
            <w:r>
              <w:rPr>
                <w:b/>
                <w:bCs/>
                <w:color w:val="FFFFFF"/>
                <w:sz w:val="22"/>
                <w:szCs w:val="22"/>
              </w:rPr>
              <w:t xml:space="preserve">Zone</w:t>
            </w:r>
          </w:p>
        </w:tc>
        <w:tc>
          <w:tcPr>
            <w:tcW w:type="pct" w:w="20%"/>
            <w:shd w:fill="1A1F2E" w:color="auto" w:val="clear"/>
            <w:tcMar>
              <w:top w:type="dxa" w:w="100"/>
              <w:left w:type="dxa" w:w="110"/>
              <w:bottom w:type="dxa" w:w="100"/>
              <w:right w:type="dxa" w:w="110"/>
            </w:tcMar>
          </w:tcPr>
          <w:p>
            <w:pPr>
              <w:spacing w:after="0" w:before="0"/>
              <w:jc w:val="left"/>
            </w:pPr>
            <w:r>
              <w:rPr>
                <w:b/>
                <w:bCs/>
                <w:color w:val="FFFFFF"/>
                <w:sz w:val="22"/>
                <w:szCs w:val="22"/>
              </w:rPr>
              <w:t xml:space="preserve">Max. occupancy</w:t>
            </w:r>
          </w:p>
        </w:tc>
        <w:tc>
          <w:tcPr>
            <w:tcW w:type="pct" w:w="20%"/>
            <w:shd w:fill="1A1F2E" w:color="auto" w:val="clear"/>
            <w:tcMar>
              <w:top w:type="dxa" w:w="100"/>
              <w:left w:type="dxa" w:w="110"/>
              <w:bottom w:type="dxa" w:w="100"/>
              <w:right w:type="dxa" w:w="110"/>
            </w:tcMar>
          </w:tcPr>
          <w:p>
            <w:pPr>
              <w:spacing w:after="0" w:before="0"/>
              <w:jc w:val="left"/>
            </w:pPr>
            <w:r>
              <w:rPr>
                <w:b/>
                <w:bCs/>
                <w:color w:val="FFFFFF"/>
                <w:sz w:val="22"/>
                <w:szCs w:val="22"/>
              </w:rPr>
              <w:t xml:space="preserve">UP required</w:t>
            </w:r>
          </w:p>
        </w:tc>
        <w:tc>
          <w:tcPr>
            <w:tcW w:type="pct" w:w="20%"/>
            <w:shd w:fill="1A1F2E" w:color="auto" w:val="clear"/>
            <w:tcMar>
              <w:top w:type="dxa" w:w="100"/>
              <w:left w:type="dxa" w:w="110"/>
              <w:bottom w:type="dxa" w:w="100"/>
              <w:right w:type="dxa" w:w="110"/>
            </w:tcMar>
          </w:tcPr>
          <w:p>
            <w:pPr>
              <w:spacing w:after="0" w:before="0"/>
              <w:jc w:val="left"/>
            </w:pPr>
            <w:r>
              <w:rPr>
                <w:b/>
                <w:bCs/>
                <w:color w:val="FFFFFF"/>
                <w:sz w:val="22"/>
                <w:szCs w:val="22"/>
              </w:rPr>
              <w:t xml:space="preserve">Min. clear width</w:t>
            </w:r>
          </w:p>
        </w:tc>
        <w:tc>
          <w:tcPr>
            <w:tcW w:type="pct" w:w="20%"/>
            <w:shd w:fill="1A1F2E" w:color="auto" w:val="clear"/>
            <w:tcMar>
              <w:top w:type="dxa" w:w="100"/>
              <w:left w:type="dxa" w:w="110"/>
              <w:bottom w:type="dxa" w:w="100"/>
              <w:right w:type="dxa" w:w="110"/>
            </w:tcMar>
          </w:tcPr>
          <w:p>
            <w:pPr>
              <w:spacing w:after="0" w:before="0"/>
              <w:jc w:val="left"/>
            </w:pPr>
            <w:r>
              <w:rPr>
                <w:b/>
                <w:bCs/>
                <w:color w:val="FFFFFF"/>
                <w:sz w:val="22"/>
                <w:szCs w:val="22"/>
              </w:rPr>
              <w:t xml:space="preserve">Exits provided</w:t>
            </w:r>
          </w:p>
        </w:tc>
      </w:tr>
      <w:tr>
        <w:tc>
          <w:tcPr>
            <w:tcW w:type="pct" w:w="20%"/>
            <w:tcMar>
              <w:top w:type="dxa" w:w="70"/>
              <w:left w:type="dxa" w:w="110"/>
              <w:bottom w:type="dxa" w:w="70"/>
              <w:right w:type="dxa" w:w="110"/>
            </w:tcMar>
          </w:tcPr>
          <w:p>
            <w:pPr>
              <w:spacing w:after="0" w:before="0"/>
              <w:jc w:val="left"/>
            </w:pPr>
            <w:r>
              <w:rPr>
                <w:sz w:val="22"/>
                <w:szCs w:val="22"/>
              </w:rPr>
              <w:t xml:space="preserve">Workshop</w:t>
            </w:r>
          </w:p>
        </w:tc>
        <w:tc>
          <w:tcPr>
            <w:tcW w:type="pct" w:w="20%"/>
            <w:tcMar>
              <w:top w:type="dxa" w:w="70"/>
              <w:left w:type="dxa" w:w="110"/>
              <w:bottom w:type="dxa" w:w="70"/>
              <w:right w:type="dxa" w:w="110"/>
            </w:tcMar>
          </w:tcPr>
          <w:p>
            <w:pPr>
              <w:spacing w:after="0" w:before="0"/>
              <w:jc w:val="left"/>
            </w:pPr>
            <w:r>
              <w:rPr>
                <w:sz w:val="22"/>
                <w:szCs w:val="22"/>
              </w:rPr>
              <w:t xml:space="preserve">20 persons</w:t>
            </w:r>
          </w:p>
        </w:tc>
        <w:tc>
          <w:tcPr>
            <w:tcW w:type="pct" w:w="20%"/>
            <w:tcMar>
              <w:top w:type="dxa" w:w="70"/>
              <w:left w:type="dxa" w:w="110"/>
              <w:bottom w:type="dxa" w:w="70"/>
              <w:right w:type="dxa" w:w="110"/>
            </w:tcMar>
          </w:tcPr>
          <w:p>
            <w:pPr>
              <w:spacing w:after="0" w:before="0"/>
              <w:jc w:val="left"/>
            </w:pPr>
            <w:r>
              <w:rPr>
                <w:sz w:val="22"/>
                <w:szCs w:val="22"/>
              </w:rPr>
              <w:t xml:space="preserve">2 UP</w:t>
            </w:r>
          </w:p>
        </w:tc>
        <w:tc>
          <w:tcPr>
            <w:tcW w:type="pct" w:w="20%"/>
            <w:tcMar>
              <w:top w:type="dxa" w:w="70"/>
              <w:left w:type="dxa" w:w="110"/>
              <w:bottom w:type="dxa" w:w="70"/>
              <w:right w:type="dxa" w:w="110"/>
            </w:tcMar>
          </w:tcPr>
          <w:p>
            <w:pPr>
              <w:spacing w:after="0" w:before="0"/>
              <w:jc w:val="left"/>
            </w:pPr>
            <w:r>
              <w:rPr>
                <w:sz w:val="22"/>
                <w:szCs w:val="22"/>
              </w:rPr>
              <w:t xml:space="preserve">1.20 m</w:t>
            </w:r>
          </w:p>
        </w:tc>
        <w:tc>
          <w:tcPr>
            <w:tcW w:type="pct" w:w="20%"/>
            <w:tcMar>
              <w:top w:type="dxa" w:w="70"/>
              <w:left w:type="dxa" w:w="110"/>
              <w:bottom w:type="dxa" w:w="70"/>
              <w:right w:type="dxa" w:w="110"/>
            </w:tcMar>
          </w:tcPr>
          <w:p>
            <w:pPr>
              <w:spacing w:after="0" w:before="0"/>
              <w:jc w:val="left"/>
            </w:pPr>
            <w:r>
              <w:rPr>
                <w:sz w:val="22"/>
                <w:szCs w:val="22"/>
              </w:rPr>
              <w:t xml:space="preserve">2 doors 1.20 m (N + S elevations)</w:t>
            </w:r>
          </w:p>
        </w:tc>
      </w:tr>
      <w:tr>
        <w:tc>
          <w:tcPr>
            <w:tcW w:type="pct" w:w="20%"/>
            <w:shd w:fill="FAF7F2" w:color="auto" w:val="clear"/>
            <w:tcMar>
              <w:top w:type="dxa" w:w="70"/>
              <w:left w:type="dxa" w:w="110"/>
              <w:bottom w:type="dxa" w:w="70"/>
              <w:right w:type="dxa" w:w="110"/>
            </w:tcMar>
          </w:tcPr>
          <w:p>
            <w:pPr>
              <w:spacing w:after="0" w:before="0"/>
              <w:jc w:val="left"/>
            </w:pPr>
            <w:r>
              <w:rPr>
                <w:sz w:val="22"/>
                <w:szCs w:val="22"/>
              </w:rPr>
              <w:t xml:space="preserve">Showroom</w:t>
            </w:r>
          </w:p>
        </w:tc>
        <w:tc>
          <w:tcPr>
            <w:tcW w:type="pct" w:w="20%"/>
            <w:shd w:fill="FAF7F2" w:color="auto" w:val="clear"/>
            <w:tcMar>
              <w:top w:type="dxa" w:w="70"/>
              <w:left w:type="dxa" w:w="110"/>
              <w:bottom w:type="dxa" w:w="70"/>
              <w:right w:type="dxa" w:w="110"/>
            </w:tcMar>
          </w:tcPr>
          <w:p>
            <w:pPr>
              <w:spacing w:after="0" w:before="0"/>
              <w:jc w:val="left"/>
            </w:pPr>
            <w:r>
              <w:rPr>
                <w:sz w:val="22"/>
                <w:szCs w:val="22"/>
              </w:rPr>
              <w:t xml:space="preserve">15 persons</w:t>
            </w:r>
          </w:p>
        </w:tc>
        <w:tc>
          <w:tcPr>
            <w:tcW w:type="pct" w:w="20%"/>
            <w:shd w:fill="FAF7F2" w:color="auto" w:val="clear"/>
            <w:tcMar>
              <w:top w:type="dxa" w:w="70"/>
              <w:left w:type="dxa" w:w="110"/>
              <w:bottom w:type="dxa" w:w="70"/>
              <w:right w:type="dxa" w:w="110"/>
            </w:tcMar>
          </w:tcPr>
          <w:p>
            <w:pPr>
              <w:spacing w:after="0" w:before="0"/>
              <w:jc w:val="left"/>
            </w:pPr>
            <w:r>
              <w:rPr>
                <w:sz w:val="22"/>
                <w:szCs w:val="22"/>
              </w:rPr>
              <w:t xml:space="preserve">2 UP</w:t>
            </w:r>
          </w:p>
        </w:tc>
        <w:tc>
          <w:tcPr>
            <w:tcW w:type="pct" w:w="20%"/>
            <w:shd w:fill="FAF7F2" w:color="auto" w:val="clear"/>
            <w:tcMar>
              <w:top w:type="dxa" w:w="70"/>
              <w:left w:type="dxa" w:w="110"/>
              <w:bottom w:type="dxa" w:w="70"/>
              <w:right w:type="dxa" w:w="110"/>
            </w:tcMar>
          </w:tcPr>
          <w:p>
            <w:pPr>
              <w:spacing w:after="0" w:before="0"/>
              <w:jc w:val="left"/>
            </w:pPr>
            <w:r>
              <w:rPr>
                <w:sz w:val="22"/>
                <w:szCs w:val="22"/>
              </w:rPr>
              <w:t xml:space="preserve">1.20 m</w:t>
            </w:r>
          </w:p>
        </w:tc>
        <w:tc>
          <w:tcPr>
            <w:tcW w:type="pct" w:w="20%"/>
            <w:shd w:fill="FAF7F2" w:color="auto" w:val="clear"/>
            <w:tcMar>
              <w:top w:type="dxa" w:w="70"/>
              <w:left w:type="dxa" w:w="110"/>
              <w:bottom w:type="dxa" w:w="70"/>
              <w:right w:type="dxa" w:w="110"/>
            </w:tcMar>
          </w:tcPr>
          <w:p>
            <w:pPr>
              <w:spacing w:after="0" w:before="0"/>
              <w:jc w:val="left"/>
            </w:pPr>
            <w:r>
              <w:rPr>
                <w:sz w:val="22"/>
                <w:szCs w:val="22"/>
              </w:rPr>
              <w:t xml:space="preserve">1 door 1.20 m + 1 emergency exit 0.90 m</w:t>
            </w:r>
          </w:p>
        </w:tc>
      </w:tr>
      <w:tr>
        <w:tc>
          <w:tcPr>
            <w:tcW w:type="pct" w:w="20%"/>
            <w:tcMar>
              <w:top w:type="dxa" w:w="70"/>
              <w:left w:type="dxa" w:w="110"/>
              <w:bottom w:type="dxa" w:w="70"/>
              <w:right w:type="dxa" w:w="110"/>
            </w:tcMar>
          </w:tcPr>
          <w:p>
            <w:pPr>
              <w:spacing w:after="0" w:before="0"/>
              <w:jc w:val="left"/>
            </w:pPr>
            <w:r>
              <w:rPr>
                <w:sz w:val="22"/>
                <w:szCs w:val="22"/>
              </w:rPr>
              <w:t xml:space="preserve">Offices</w:t>
            </w:r>
          </w:p>
        </w:tc>
        <w:tc>
          <w:tcPr>
            <w:tcW w:type="pct" w:w="20%"/>
            <w:tcMar>
              <w:top w:type="dxa" w:w="70"/>
              <w:left w:type="dxa" w:w="110"/>
              <w:bottom w:type="dxa" w:w="70"/>
              <w:right w:type="dxa" w:w="110"/>
            </w:tcMar>
          </w:tcPr>
          <w:p>
            <w:pPr>
              <w:spacing w:after="0" w:before="0"/>
              <w:jc w:val="left"/>
            </w:pPr>
            <w:r>
              <w:rPr>
                <w:sz w:val="22"/>
                <w:szCs w:val="22"/>
              </w:rPr>
              <w:t xml:space="preserve">5 persons</w:t>
            </w:r>
          </w:p>
        </w:tc>
        <w:tc>
          <w:tcPr>
            <w:tcW w:type="pct" w:w="20%"/>
            <w:tcMar>
              <w:top w:type="dxa" w:w="70"/>
              <w:left w:type="dxa" w:w="110"/>
              <w:bottom w:type="dxa" w:w="70"/>
              <w:right w:type="dxa" w:w="110"/>
            </w:tcMar>
          </w:tcPr>
          <w:p>
            <w:pPr>
              <w:spacing w:after="0" w:before="0"/>
              <w:jc w:val="left"/>
            </w:pPr>
            <w:r>
              <w:rPr>
                <w:sz w:val="22"/>
                <w:szCs w:val="22"/>
              </w:rPr>
              <w:t xml:space="preserve">1 UP</w:t>
            </w:r>
          </w:p>
        </w:tc>
        <w:tc>
          <w:tcPr>
            <w:tcW w:type="pct" w:w="20%"/>
            <w:tcMar>
              <w:top w:type="dxa" w:w="70"/>
              <w:left w:type="dxa" w:w="110"/>
              <w:bottom w:type="dxa" w:w="70"/>
              <w:right w:type="dxa" w:w="110"/>
            </w:tcMar>
          </w:tcPr>
          <w:p>
            <w:pPr>
              <w:spacing w:after="0" w:before="0"/>
              <w:jc w:val="left"/>
            </w:pPr>
            <w:r>
              <w:rPr>
                <w:sz w:val="22"/>
                <w:szCs w:val="22"/>
              </w:rPr>
              <w:t xml:space="preserve">0.90 m</w:t>
            </w:r>
          </w:p>
        </w:tc>
        <w:tc>
          <w:tcPr>
            <w:tcW w:type="pct" w:w="20%"/>
            <w:tcMar>
              <w:top w:type="dxa" w:w="70"/>
              <w:left w:type="dxa" w:w="110"/>
              <w:bottom w:type="dxa" w:w="70"/>
              <w:right w:type="dxa" w:w="110"/>
            </w:tcMar>
          </w:tcPr>
          <w:p>
            <w:pPr>
              <w:spacing w:after="0" w:before="0"/>
              <w:jc w:val="left"/>
            </w:pPr>
            <w:r>
              <w:rPr>
                <w:sz w:val="22"/>
                <w:szCs w:val="22"/>
              </w:rPr>
              <w:t xml:space="preserve">1 door 0.90 m to external circulation</w:t>
            </w:r>
          </w:p>
        </w:tc>
      </w:tr>
      <w:tr>
        <w:tc>
          <w:tcPr>
            <w:tcW w:type="pct" w:w="20%"/>
            <w:shd w:fill="FAF7F2" w:color="auto" w:val="clear"/>
            <w:tcMar>
              <w:top w:type="dxa" w:w="70"/>
              <w:left w:type="dxa" w:w="110"/>
              <w:bottom w:type="dxa" w:w="70"/>
              <w:right w:type="dxa" w:w="110"/>
            </w:tcMar>
          </w:tcPr>
          <w:p>
            <w:pPr>
              <w:spacing w:after="0" w:before="0"/>
              <w:jc w:val="left"/>
            </w:pPr>
            <w:r>
              <w:rPr>
                <w:sz w:val="22"/>
                <w:szCs w:val="22"/>
              </w:rPr>
              <w:t xml:space="preserve">HTA substation</w:t>
            </w:r>
          </w:p>
        </w:tc>
        <w:tc>
          <w:tcPr>
            <w:tcW w:type="pct" w:w="20%"/>
            <w:shd w:fill="FAF7F2" w:color="auto" w:val="clear"/>
            <w:tcMar>
              <w:top w:type="dxa" w:w="70"/>
              <w:left w:type="dxa" w:w="110"/>
              <w:bottom w:type="dxa" w:w="70"/>
              <w:right w:type="dxa" w:w="110"/>
            </w:tcMar>
          </w:tcPr>
          <w:p>
            <w:pPr>
              <w:spacing w:after="0" w:before="0"/>
              <w:jc w:val="left"/>
            </w:pPr>
            <w:r>
              <w:rPr>
                <w:sz w:val="22"/>
                <w:szCs w:val="22"/>
              </w:rPr>
              <w:t xml:space="preserve">1 person</w:t>
            </w:r>
          </w:p>
        </w:tc>
        <w:tc>
          <w:tcPr>
            <w:tcW w:type="pct" w:w="20%"/>
            <w:shd w:fill="FAF7F2" w:color="auto" w:val="clear"/>
            <w:tcMar>
              <w:top w:type="dxa" w:w="70"/>
              <w:left w:type="dxa" w:w="110"/>
              <w:bottom w:type="dxa" w:w="70"/>
              <w:right w:type="dxa" w:w="110"/>
            </w:tcMar>
          </w:tcPr>
          <w:p>
            <w:pPr>
              <w:spacing w:after="0" w:before="0"/>
              <w:jc w:val="left"/>
            </w:pPr>
            <w:r>
              <w:rPr>
                <w:sz w:val="22"/>
                <w:szCs w:val="22"/>
              </w:rPr>
              <w:t xml:space="preserve">1 UP</w:t>
            </w:r>
          </w:p>
        </w:tc>
        <w:tc>
          <w:tcPr>
            <w:tcW w:type="pct" w:w="20%"/>
            <w:shd w:fill="FAF7F2" w:color="auto" w:val="clear"/>
            <w:tcMar>
              <w:top w:type="dxa" w:w="70"/>
              <w:left w:type="dxa" w:w="110"/>
              <w:bottom w:type="dxa" w:w="70"/>
              <w:right w:type="dxa" w:w="110"/>
            </w:tcMar>
          </w:tcPr>
          <w:p>
            <w:pPr>
              <w:spacing w:after="0" w:before="0"/>
              <w:jc w:val="left"/>
            </w:pPr>
            <w:r>
              <w:rPr>
                <w:sz w:val="22"/>
                <w:szCs w:val="22"/>
              </w:rPr>
              <w:t xml:space="preserve">0.90 m</w:t>
            </w:r>
          </w:p>
        </w:tc>
        <w:tc>
          <w:tcPr>
            <w:tcW w:type="pct" w:w="20%"/>
            <w:shd w:fill="FAF7F2" w:color="auto" w:val="clear"/>
            <w:tcMar>
              <w:top w:type="dxa" w:w="70"/>
              <w:left w:type="dxa" w:w="110"/>
              <w:bottom w:type="dxa" w:w="70"/>
              <w:right w:type="dxa" w:w="110"/>
            </w:tcMar>
          </w:tcPr>
          <w:p>
            <w:pPr>
              <w:spacing w:after="0" w:before="0"/>
              <w:jc w:val="left"/>
            </w:pPr>
            <w:r>
              <w:rPr>
                <w:sz w:val="22"/>
                <w:szCs w:val="22"/>
              </w:rPr>
              <w:t xml:space="preserve">1 door 0.90 m opening outward</w:t>
            </w:r>
          </w:p>
        </w:tc>
      </w:tr>
    </w:tbl>
    <w:p/>
    <w:p/>
    <w:p>
      <w:pPr>
        <w:spacing w:after="120" w:line="320"/>
        <w:jc w:val="both"/>
      </w:pPr>
      <w:r>
        <w:rPr>
          <w:b/>
          <w:bCs/>
        </w:rPr>
        <w:t xml:space="preserve">All emergency exit doors open outward</w:t>
      </w:r>
      <w:r>
        <w:t xml:space="preserve"> — in the direction of evacuation — and are equipped with panic bar hardware operable without a key from the inside.</w:t>
      </w:r>
    </w:p>
    <w:p/>
    <w:p>
      <w:pPr>
        <w:pStyle w:val="Heading3"/>
      </w:pPr>
      <w:bookmarkStart w:name="nexia_h_260" w:id="1"/>
      <w:r>
        <w:rPr>
          <w:b/>
          <w:bCs/>
        </w:rPr>
        <w:t xml:space="preserve">1.8.2.  </w:t>
      </w:r>
      <w:r>
        <w:t xml:space="preserve">Emergency Lighting (BAES)</w:t>
      </w:r>
      <w:bookmarkEnd w:id="1"/>
    </w:p>
    <w:p/>
    <w:p>
      <w:pPr>
        <w:spacing w:after="120" w:line="320"/>
        <w:jc w:val="both"/>
      </w:pPr>
      <w:r>
        <w:t xml:space="preserve">Emergency lighting ensures safe evacuation of all zones in the event of mains power failure. Luminaires are </w:t>
      </w:r>
      <w:r>
        <w:rPr>
          <w:b/>
          <w:bCs/>
        </w:rPr>
        <w:t xml:space="preserve">Self-Contained Emergency Lighting Units (BAES)</w:t>
      </w:r>
      <w:r>
        <w:t xml:space="preserve"> per NF EN 1838.</w:t>
      </w:r>
    </w:p>
    <w:p/>
    <w:tbl>
      <w:tblPr>
        <w:tblW w:type="pct" w:w="100%"/>
        <w:tblBorders>
          <w:top w:val="single" w:color="BFBFBF" w:sz="6"/>
          <w:left w:val="single" w:color="BFBFBF" w:sz="6"/>
          <w:bottom w:val="single" w:color="BFBFBF" w:sz="6"/>
          <w:right w:val="single" w:color="BFBFBF" w:sz="6"/>
          <w:insideH w:val="single" w:color="BFBFBF" w:sz="6"/>
          <w:insideV w:val="single" w:color="BFBFBF" w:sz="6"/>
        </w:tblBorders>
      </w:tblPr>
      <w:tblGrid>
        <w:gridCol w:w="100"/>
        <w:gridCol w:w="100"/>
      </w:tblGrid>
      <w:tr>
        <w:trPr>
          <w:tblHeader/>
        </w:trPr>
        <w:tc>
          <w:tcPr>
            <w:tcW w:type="pct" w:w="50%"/>
            <w:shd w:fill="1A1F2E" w:color="auto" w:val="clear"/>
            <w:tcMar>
              <w:top w:type="dxa" w:w="100"/>
              <w:left w:type="dxa" w:w="110"/>
              <w:bottom w:type="dxa" w:w="100"/>
              <w:right w:type="dxa" w:w="110"/>
            </w:tcMar>
          </w:tcPr>
          <w:p>
            <w:pPr>
              <w:spacing w:after="0" w:before="0"/>
              <w:jc w:val="left"/>
            </w:pPr>
            <w:r>
              <w:rPr>
                <w:b/>
                <w:bCs/>
                <w:color w:val="FFFFFF"/>
                <w:sz w:val="22"/>
                <w:szCs w:val="22"/>
              </w:rPr>
              <w:t xml:space="preserve">Parameter</w:t>
            </w:r>
          </w:p>
        </w:tc>
        <w:tc>
          <w:tcPr>
            <w:tcW w:type="pct" w:w="50%"/>
            <w:shd w:fill="1A1F2E" w:color="auto" w:val="clear"/>
            <w:tcMar>
              <w:top w:type="dxa" w:w="100"/>
              <w:left w:type="dxa" w:w="110"/>
              <w:bottom w:type="dxa" w:w="100"/>
              <w:right w:type="dxa" w:w="110"/>
            </w:tcMar>
          </w:tcPr>
          <w:p>
            <w:pPr>
              <w:spacing w:after="0" w:before="0"/>
              <w:jc w:val="left"/>
            </w:pPr>
            <w:r>
              <w:rPr>
                <w:b/>
                <w:bCs/>
                <w:color w:val="FFFFFF"/>
                <w:sz w:val="22"/>
                <w:szCs w:val="22"/>
              </w:rPr>
              <w:t xml:space="preserve">Specification</w:t>
            </w:r>
          </w:p>
        </w:tc>
      </w:tr>
      <w:tr>
        <w:tc>
          <w:tcPr>
            <w:tcW w:type="pct" w:w="50%"/>
            <w:tcMar>
              <w:top w:type="dxa" w:w="70"/>
              <w:left w:type="dxa" w:w="110"/>
              <w:bottom w:type="dxa" w:w="70"/>
              <w:right w:type="dxa" w:w="110"/>
            </w:tcMar>
          </w:tcPr>
          <w:p>
            <w:pPr>
              <w:spacing w:after="0" w:before="0"/>
              <w:jc w:val="left"/>
            </w:pPr>
            <w:r>
              <w:rPr>
                <w:sz w:val="22"/>
                <w:szCs w:val="22"/>
              </w:rPr>
              <w:t xml:space="preserve">Minimum autonomy</w:t>
            </w:r>
          </w:p>
        </w:tc>
        <w:tc>
          <w:tcPr>
            <w:tcW w:type="pct" w:w="50%"/>
            <w:tcMar>
              <w:top w:type="dxa" w:w="70"/>
              <w:left w:type="dxa" w:w="110"/>
              <w:bottom w:type="dxa" w:w="70"/>
              <w:right w:type="dxa" w:w="110"/>
            </w:tcMar>
          </w:tcPr>
          <w:p>
            <w:pPr>
              <w:spacing w:after="0" w:before="0"/>
              <w:jc w:val="left"/>
            </w:pPr>
            <w:r>
              <w:rPr>
                <w:sz w:val="22"/>
                <w:szCs w:val="22"/>
              </w:rPr>
              <w:t xml:space="preserve">1 hour on internal battery (NF EN 1838)</w:t>
            </w:r>
          </w:p>
        </w:tc>
      </w:tr>
      <w:tr>
        <w:tc>
          <w:tcPr>
            <w:tcW w:type="pct" w:w="50%"/>
            <w:shd w:fill="FAF7F2" w:color="auto" w:val="clear"/>
            <w:tcMar>
              <w:top w:type="dxa" w:w="70"/>
              <w:left w:type="dxa" w:w="110"/>
              <w:bottom w:type="dxa" w:w="70"/>
              <w:right w:type="dxa" w:w="110"/>
            </w:tcMar>
          </w:tcPr>
          <w:p>
            <w:pPr>
              <w:spacing w:after="0" w:before="0"/>
              <w:jc w:val="left"/>
            </w:pPr>
            <w:r>
              <w:rPr>
                <w:sz w:val="22"/>
                <w:szCs w:val="22"/>
              </w:rPr>
              <w:t xml:space="preserve">Minimum illuminance — escape routes</w:t>
            </w:r>
          </w:p>
        </w:tc>
        <w:tc>
          <w:tcPr>
            <w:tcW w:type="pct" w:w="50%"/>
            <w:shd w:fill="FAF7F2" w:color="auto" w:val="clear"/>
            <w:tcMar>
              <w:top w:type="dxa" w:w="70"/>
              <w:left w:type="dxa" w:w="110"/>
              <w:bottom w:type="dxa" w:w="70"/>
              <w:right w:type="dxa" w:w="110"/>
            </w:tcMar>
          </w:tcPr>
          <w:p>
            <w:pPr>
              <w:spacing w:after="0" w:before="0"/>
              <w:jc w:val="left"/>
            </w:pPr>
            <w:r>
              <w:rPr>
                <w:sz w:val="22"/>
                <w:szCs w:val="22"/>
              </w:rPr>
              <w:t xml:space="preserve">1 lux on floor level centre line</w:t>
            </w:r>
          </w:p>
        </w:tc>
      </w:tr>
      <w:tr>
        <w:tc>
          <w:tcPr>
            <w:tcW w:type="pct" w:w="50%"/>
            <w:tcMar>
              <w:top w:type="dxa" w:w="70"/>
              <w:left w:type="dxa" w:w="110"/>
              <w:bottom w:type="dxa" w:w="70"/>
              <w:right w:type="dxa" w:w="110"/>
            </w:tcMar>
          </w:tcPr>
          <w:p>
            <w:pPr>
              <w:spacing w:after="0" w:before="0"/>
              <w:jc w:val="left"/>
            </w:pPr>
            <w:r>
              <w:rPr>
                <w:sz w:val="22"/>
                <w:szCs w:val="22"/>
              </w:rPr>
              <w:t xml:space="preserve">Minimum illuminance — open areas</w:t>
            </w:r>
          </w:p>
        </w:tc>
        <w:tc>
          <w:tcPr>
            <w:tcW w:type="pct" w:w="50%"/>
            <w:tcMar>
              <w:top w:type="dxa" w:w="70"/>
              <w:left w:type="dxa" w:w="110"/>
              <w:bottom w:type="dxa" w:w="70"/>
              <w:right w:type="dxa" w:w="110"/>
            </w:tcMar>
          </w:tcPr>
          <w:p>
            <w:pPr>
              <w:spacing w:after="0" w:before="0"/>
              <w:jc w:val="left"/>
            </w:pPr>
            <w:r>
              <w:rPr>
                <w:sz w:val="22"/>
                <w:szCs w:val="22"/>
              </w:rPr>
              <w:t xml:space="preserve">0.5 lux at floor level</w:t>
            </w:r>
          </w:p>
        </w:tc>
      </w:tr>
      <w:tr>
        <w:tc>
          <w:tcPr>
            <w:tcW w:type="pct" w:w="50%"/>
            <w:shd w:fill="FAF7F2" w:color="auto" w:val="clear"/>
            <w:tcMar>
              <w:top w:type="dxa" w:w="70"/>
              <w:left w:type="dxa" w:w="110"/>
              <w:bottom w:type="dxa" w:w="70"/>
              <w:right w:type="dxa" w:w="110"/>
            </w:tcMar>
          </w:tcPr>
          <w:p>
            <w:pPr>
              <w:spacing w:after="0" w:before="0"/>
              <w:jc w:val="left"/>
            </w:pPr>
            <w:r>
              <w:rPr>
                <w:sz w:val="22"/>
                <w:szCs w:val="22"/>
              </w:rPr>
              <w:t xml:space="preserve">Maximum spacing on escape routes</w:t>
            </w:r>
          </w:p>
        </w:tc>
        <w:tc>
          <w:tcPr>
            <w:tcW w:type="pct" w:w="50%"/>
            <w:shd w:fill="FAF7F2" w:color="auto" w:val="clear"/>
            <w:tcMar>
              <w:top w:type="dxa" w:w="70"/>
              <w:left w:type="dxa" w:w="110"/>
              <w:bottom w:type="dxa" w:w="70"/>
              <w:right w:type="dxa" w:w="110"/>
            </w:tcMar>
          </w:tcPr>
          <w:p>
            <w:pPr>
              <w:spacing w:after="0" w:before="0"/>
              <w:jc w:val="left"/>
            </w:pPr>
            <w:r>
              <w:rPr>
                <w:sz w:val="22"/>
                <w:szCs w:val="22"/>
              </w:rPr>
              <w:t xml:space="preserve">15 m between luminaires</w:t>
            </w:r>
          </w:p>
        </w:tc>
      </w:tr>
      <w:tr>
        <w:tc>
          <w:tcPr>
            <w:tcW w:type="pct" w:w="50%"/>
            <w:tcMar>
              <w:top w:type="dxa" w:w="70"/>
              <w:left w:type="dxa" w:w="110"/>
              <w:bottom w:type="dxa" w:w="70"/>
              <w:right w:type="dxa" w:w="110"/>
            </w:tcMar>
          </w:tcPr>
          <w:p>
            <w:pPr>
              <w:spacing w:after="0" w:before="0"/>
              <w:jc w:val="left"/>
            </w:pPr>
            <w:r>
              <w:rPr>
                <w:sz w:val="22"/>
                <w:szCs w:val="22"/>
              </w:rPr>
              <w:t xml:space="preserve">Monthly test</w:t>
            </w:r>
          </w:p>
        </w:tc>
        <w:tc>
          <w:tcPr>
            <w:tcW w:type="pct" w:w="50%"/>
            <w:tcMar>
              <w:top w:type="dxa" w:w="70"/>
              <w:left w:type="dxa" w:w="110"/>
              <w:bottom w:type="dxa" w:w="70"/>
              <w:right w:type="dxa" w:w="110"/>
            </w:tcMar>
          </w:tcPr>
          <w:p>
            <w:pPr>
              <w:spacing w:after="0" w:before="0"/>
              <w:jc w:val="left"/>
            </w:pPr>
            <w:r>
              <w:rPr>
                <w:sz w:val="22"/>
                <w:szCs w:val="22"/>
              </w:rPr>
              <w:t xml:space="preserve">1-hour full discharge — recorded in safety register</w:t>
            </w:r>
          </w:p>
        </w:tc>
      </w:tr>
      <w:tr>
        <w:tc>
          <w:tcPr>
            <w:tcW w:type="pct" w:w="50%"/>
            <w:shd w:fill="FAF7F2" w:color="auto" w:val="clear"/>
            <w:tcMar>
              <w:top w:type="dxa" w:w="70"/>
              <w:left w:type="dxa" w:w="110"/>
              <w:bottom w:type="dxa" w:w="70"/>
              <w:right w:type="dxa" w:w="110"/>
            </w:tcMar>
          </w:tcPr>
          <w:p>
            <w:pPr>
              <w:spacing w:after="0" w:before="0"/>
              <w:jc w:val="left"/>
            </w:pPr>
            <w:r>
              <w:rPr>
                <w:sz w:val="22"/>
                <w:szCs w:val="22"/>
              </w:rPr>
              <w:t xml:space="preserve">Annual test</w:t>
            </w:r>
          </w:p>
        </w:tc>
        <w:tc>
          <w:tcPr>
            <w:tcW w:type="pct" w:w="50%"/>
            <w:shd w:fill="FAF7F2" w:color="auto" w:val="clear"/>
            <w:tcMar>
              <w:top w:type="dxa" w:w="70"/>
              <w:left w:type="dxa" w:w="110"/>
              <w:bottom w:type="dxa" w:w="70"/>
              <w:right w:type="dxa" w:w="110"/>
            </w:tcMar>
          </w:tcPr>
          <w:p>
            <w:pPr>
              <w:spacing w:after="0" w:before="0"/>
              <w:jc w:val="left"/>
            </w:pPr>
            <w:r>
              <w:rPr>
                <w:sz w:val="22"/>
                <w:szCs w:val="22"/>
              </w:rPr>
              <w:t xml:space="preserve">Function test — replacement of failed units</w:t>
            </w:r>
          </w:p>
        </w:tc>
      </w:tr>
    </w:tbl>
    <w:p/>
    <w:p/>
    <w:p>
      <w:pPr>
        <w:spacing w:after="120" w:line="320"/>
        <w:jc w:val="both"/>
      </w:pPr>
      <w:r>
        <w:rPr>
          <w:b/>
          <w:bCs/>
        </w:rPr>
        <w:t xml:space="preserve">BAES implantation — all zones:</w:t>
      </w:r>
    </w:p>
    <w:p/>
    <w:tbl>
      <w:tblPr>
        <w:tblW w:type="pct" w:w="100%"/>
        <w:tblBorders>
          <w:top w:val="single" w:color="BFBFBF" w:sz="6"/>
          <w:left w:val="single" w:color="BFBFBF" w:sz="6"/>
          <w:bottom w:val="single" w:color="BFBFBF" w:sz="6"/>
          <w:right w:val="single" w:color="BFBFBF" w:sz="6"/>
          <w:insideH w:val="single" w:color="BFBFBF" w:sz="6"/>
          <w:insideV w:val="single" w:color="BFBFBF" w:sz="6"/>
        </w:tblBorders>
      </w:tblPr>
      <w:tblGrid>
        <w:gridCol w:w="100"/>
        <w:gridCol w:w="100"/>
        <w:gridCol w:w="100"/>
      </w:tblGrid>
      <w:tr>
        <w:trPr>
          <w:tblHeader/>
        </w:trPr>
        <w:tc>
          <w:tcPr>
            <w:tcW w:type="pct" w:w="33%"/>
            <w:shd w:fill="1A1F2E" w:color="auto" w:val="clear"/>
            <w:tcMar>
              <w:top w:type="dxa" w:w="100"/>
              <w:left w:type="dxa" w:w="110"/>
              <w:bottom w:type="dxa" w:w="100"/>
              <w:right w:type="dxa" w:w="110"/>
            </w:tcMar>
          </w:tcPr>
          <w:p>
            <w:pPr>
              <w:spacing w:after="0" w:before="0"/>
              <w:jc w:val="left"/>
            </w:pPr>
            <w:r>
              <w:rPr>
                <w:b/>
                <w:bCs/>
                <w:color w:val="FFFFFF"/>
                <w:sz w:val="22"/>
                <w:szCs w:val="22"/>
              </w:rPr>
              <w:t xml:space="preserve">Zone</w:t>
            </w:r>
          </w:p>
        </w:tc>
        <w:tc>
          <w:tcPr>
            <w:tcW w:type="pct" w:w="33%"/>
            <w:shd w:fill="1A1F2E" w:color="auto" w:val="clear"/>
            <w:tcMar>
              <w:top w:type="dxa" w:w="100"/>
              <w:left w:type="dxa" w:w="110"/>
              <w:bottom w:type="dxa" w:w="100"/>
              <w:right w:type="dxa" w:w="110"/>
            </w:tcMar>
          </w:tcPr>
          <w:p>
            <w:pPr>
              <w:spacing w:after="0" w:before="0"/>
              <w:jc w:val="right"/>
            </w:pPr>
            <w:r>
              <w:rPr>
                <w:b/>
                <w:bCs/>
                <w:color w:val="FFFFFF"/>
                <w:sz w:val="22"/>
                <w:szCs w:val="22"/>
              </w:rPr>
              <w:t xml:space="preserve">BAES quantity</w:t>
            </w:r>
          </w:p>
        </w:tc>
        <w:tc>
          <w:tcPr>
            <w:tcW w:type="pct" w:w="33%"/>
            <w:shd w:fill="1A1F2E" w:color="auto" w:val="clear"/>
            <w:tcMar>
              <w:top w:type="dxa" w:w="100"/>
              <w:left w:type="dxa" w:w="110"/>
              <w:bottom w:type="dxa" w:w="100"/>
              <w:right w:type="dxa" w:w="110"/>
            </w:tcMar>
          </w:tcPr>
          <w:p>
            <w:pPr>
              <w:spacing w:after="0" w:before="0"/>
              <w:jc w:val="left"/>
            </w:pPr>
            <w:r>
              <w:rPr>
                <w:b/>
                <w:bCs/>
                <w:color w:val="FFFFFF"/>
                <w:sz w:val="22"/>
                <w:szCs w:val="22"/>
              </w:rPr>
              <w:t xml:space="preserve">Location</w:t>
            </w:r>
          </w:p>
        </w:tc>
      </w:tr>
      <w:tr>
        <w:tc>
          <w:tcPr>
            <w:tcW w:type="pct" w:w="33%"/>
            <w:tcMar>
              <w:top w:type="dxa" w:w="70"/>
              <w:left w:type="dxa" w:w="110"/>
              <w:bottom w:type="dxa" w:w="70"/>
              <w:right w:type="dxa" w:w="110"/>
            </w:tcMar>
          </w:tcPr>
          <w:p>
            <w:pPr>
              <w:spacing w:after="0" w:before="0"/>
              <w:jc w:val="left"/>
            </w:pPr>
            <w:r>
              <w:rPr>
                <w:sz w:val="22"/>
                <w:szCs w:val="22"/>
              </w:rPr>
              <w:t xml:space="preserve">Workshop — main aisles</w:t>
            </w:r>
          </w:p>
        </w:tc>
        <w:tc>
          <w:tcPr>
            <w:tcW w:type="pct" w:w="33%"/>
            <w:tcMar>
              <w:top w:type="dxa" w:w="70"/>
              <w:left w:type="dxa" w:w="110"/>
              <w:bottom w:type="dxa" w:w="70"/>
              <w:right w:type="dxa" w:w="110"/>
            </w:tcMar>
          </w:tcPr>
          <w:p>
            <w:pPr>
              <w:spacing w:after="0" w:before="0"/>
              <w:jc w:val="right"/>
            </w:pPr>
            <w:r>
              <w:rPr>
                <w:sz w:val="22"/>
                <w:szCs w:val="22"/>
              </w:rPr>
              <w:t xml:space="preserve">8</w:t>
            </w:r>
          </w:p>
        </w:tc>
        <w:tc>
          <w:tcPr>
            <w:tcW w:type="pct" w:w="33%"/>
            <w:tcMar>
              <w:top w:type="dxa" w:w="70"/>
              <w:left w:type="dxa" w:w="110"/>
              <w:bottom w:type="dxa" w:w="70"/>
              <w:right w:type="dxa" w:w="110"/>
            </w:tcMar>
          </w:tcPr>
          <w:p>
            <w:pPr>
              <w:spacing w:after="0" w:before="0"/>
              <w:jc w:val="left"/>
            </w:pPr>
            <w:r>
              <w:rPr>
                <w:sz w:val="22"/>
                <w:szCs w:val="22"/>
              </w:rPr>
              <w:t xml:space="preserve">Suspended above evacuation aisles — h = 3.0 m</w:t>
            </w:r>
          </w:p>
        </w:tc>
      </w:tr>
      <w:tr>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Workshop — exit doors</w:t>
            </w:r>
          </w:p>
        </w:tc>
        <w:tc>
          <w:tcPr>
            <w:tcW w:type="pct" w:w="33%"/>
            <w:shd w:fill="FAF7F2" w:color="auto" w:val="clear"/>
            <w:tcMar>
              <w:top w:type="dxa" w:w="70"/>
              <w:left w:type="dxa" w:w="110"/>
              <w:bottom w:type="dxa" w:w="70"/>
              <w:right w:type="dxa" w:w="110"/>
            </w:tcMar>
          </w:tcPr>
          <w:p>
            <w:pPr>
              <w:spacing w:after="0" w:before="0"/>
              <w:jc w:val="right"/>
            </w:pPr>
            <w:r>
              <w:rPr>
                <w:sz w:val="22"/>
                <w:szCs w:val="22"/>
              </w:rPr>
              <w:t xml:space="preserve">4</w:t>
            </w:r>
          </w:p>
        </w:tc>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Above each emergency exit door</w:t>
            </w:r>
          </w:p>
        </w:tc>
      </w:tr>
      <w:tr>
        <w:tc>
          <w:tcPr>
            <w:tcW w:type="pct" w:w="33%"/>
            <w:tcMar>
              <w:top w:type="dxa" w:w="70"/>
              <w:left w:type="dxa" w:w="110"/>
              <w:bottom w:type="dxa" w:w="70"/>
              <w:right w:type="dxa" w:w="110"/>
            </w:tcMar>
          </w:tcPr>
          <w:p>
            <w:pPr>
              <w:spacing w:after="0" w:before="0"/>
              <w:jc w:val="left"/>
            </w:pPr>
            <w:r>
              <w:rPr>
                <w:sz w:val="22"/>
                <w:szCs w:val="22"/>
              </w:rPr>
              <w:t xml:space="preserve">Showroom</w:t>
            </w:r>
          </w:p>
        </w:tc>
        <w:tc>
          <w:tcPr>
            <w:tcW w:type="pct" w:w="33%"/>
            <w:tcMar>
              <w:top w:type="dxa" w:w="70"/>
              <w:left w:type="dxa" w:w="110"/>
              <w:bottom w:type="dxa" w:w="70"/>
              <w:right w:type="dxa" w:w="110"/>
            </w:tcMar>
          </w:tcPr>
          <w:p>
            <w:pPr>
              <w:spacing w:after="0" w:before="0"/>
              <w:jc w:val="right"/>
            </w:pPr>
            <w:r>
              <w:rPr>
                <w:sz w:val="22"/>
                <w:szCs w:val="22"/>
              </w:rPr>
              <w:t xml:space="preserve">6</w:t>
            </w:r>
          </w:p>
        </w:tc>
        <w:tc>
          <w:tcPr>
            <w:tcW w:type="pct" w:w="33%"/>
            <w:tcMar>
              <w:top w:type="dxa" w:w="70"/>
              <w:left w:type="dxa" w:w="110"/>
              <w:bottom w:type="dxa" w:w="70"/>
              <w:right w:type="dxa" w:w="110"/>
            </w:tcMar>
          </w:tcPr>
          <w:p>
            <w:pPr>
              <w:spacing w:after="0" w:before="0"/>
              <w:jc w:val="left"/>
            </w:pPr>
            <w:r>
              <w:rPr>
                <w:sz w:val="22"/>
                <w:szCs w:val="22"/>
              </w:rPr>
              <w:t xml:space="preserve">Along main evacuation route to exits</w:t>
            </w:r>
          </w:p>
        </w:tc>
      </w:tr>
      <w:tr>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Corridors and offices</w:t>
            </w:r>
          </w:p>
        </w:tc>
        <w:tc>
          <w:tcPr>
            <w:tcW w:type="pct" w:w="33%"/>
            <w:shd w:fill="FAF7F2" w:color="auto" w:val="clear"/>
            <w:tcMar>
              <w:top w:type="dxa" w:w="70"/>
              <w:left w:type="dxa" w:w="110"/>
              <w:bottom w:type="dxa" w:w="70"/>
              <w:right w:type="dxa" w:w="110"/>
            </w:tcMar>
          </w:tcPr>
          <w:p>
            <w:pPr>
              <w:spacing w:after="0" w:before="0"/>
              <w:jc w:val="right"/>
            </w:pPr>
            <w:r>
              <w:rPr>
                <w:sz w:val="22"/>
                <w:szCs w:val="22"/>
              </w:rPr>
              <w:t xml:space="preserve">4</w:t>
            </w:r>
          </w:p>
        </w:tc>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Corridor ceiling — 2 m above floor</w:t>
            </w:r>
          </w:p>
        </w:tc>
      </w:tr>
      <w:tr>
        <w:tc>
          <w:tcPr>
            <w:tcW w:type="pct" w:w="33%"/>
            <w:tcMar>
              <w:top w:type="dxa" w:w="70"/>
              <w:left w:type="dxa" w:w="110"/>
              <w:bottom w:type="dxa" w:w="70"/>
              <w:right w:type="dxa" w:w="110"/>
            </w:tcMar>
          </w:tcPr>
          <w:p>
            <w:pPr>
              <w:spacing w:after="0" w:before="0"/>
              <w:jc w:val="left"/>
            </w:pPr>
            <w:r>
              <w:rPr>
                <w:sz w:val="22"/>
                <w:szCs w:val="22"/>
              </w:rPr>
              <w:t xml:space="preserve">Stairwells / ramps (if any)</w:t>
            </w:r>
          </w:p>
        </w:tc>
        <w:tc>
          <w:tcPr>
            <w:tcW w:type="pct" w:w="33%"/>
            <w:tcMar>
              <w:top w:type="dxa" w:w="70"/>
              <w:left w:type="dxa" w:w="110"/>
              <w:bottom w:type="dxa" w:w="70"/>
              <w:right w:type="dxa" w:w="110"/>
            </w:tcMar>
          </w:tcPr>
          <w:p>
            <w:pPr>
              <w:spacing w:after="0" w:before="0"/>
              <w:jc w:val="right"/>
            </w:pPr>
            <w:r>
              <w:rPr>
                <w:sz w:val="22"/>
                <w:szCs w:val="22"/>
              </w:rPr>
              <w:t xml:space="preserve">2</w:t>
            </w:r>
          </w:p>
        </w:tc>
        <w:tc>
          <w:tcPr>
            <w:tcW w:type="pct" w:w="33%"/>
            <w:tcMar>
              <w:top w:type="dxa" w:w="70"/>
              <w:left w:type="dxa" w:w="110"/>
              <w:bottom w:type="dxa" w:w="70"/>
              <w:right w:type="dxa" w:w="110"/>
            </w:tcMar>
          </w:tcPr>
          <w:p>
            <w:pPr>
              <w:spacing w:after="0" w:before="0"/>
              <w:jc w:val="left"/>
            </w:pPr>
            <w:r>
              <w:rPr>
                <w:sz w:val="22"/>
                <w:szCs w:val="22"/>
              </w:rPr>
              <w:t xml:space="preserve">Top and bottom of each stair flight</w:t>
            </w:r>
          </w:p>
        </w:tc>
      </w:tr>
      <w:tr>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Guard post</w:t>
            </w:r>
          </w:p>
        </w:tc>
        <w:tc>
          <w:tcPr>
            <w:tcW w:type="pct" w:w="33%"/>
            <w:shd w:fill="FAF7F2" w:color="auto" w:val="clear"/>
            <w:tcMar>
              <w:top w:type="dxa" w:w="70"/>
              <w:left w:type="dxa" w:w="110"/>
              <w:bottom w:type="dxa" w:w="70"/>
              <w:right w:type="dxa" w:w="110"/>
            </w:tcMar>
          </w:tcPr>
          <w:p>
            <w:pPr>
              <w:spacing w:after="0" w:before="0"/>
              <w:jc w:val="right"/>
            </w:pPr>
            <w:r>
              <w:rPr>
                <w:sz w:val="22"/>
                <w:szCs w:val="22"/>
              </w:rPr>
              <w:t xml:space="preserve">1</w:t>
            </w:r>
          </w:p>
        </w:tc>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Permanent post</w:t>
            </w:r>
          </w:p>
        </w:tc>
      </w:tr>
      <w:tr>
        <w:tc>
          <w:tcPr>
            <w:tcW w:type="pct" w:w="33%"/>
            <w:tcMar>
              <w:top w:type="dxa" w:w="70"/>
              <w:left w:type="dxa" w:w="110"/>
              <w:bottom w:type="dxa" w:w="70"/>
              <w:right w:type="dxa" w:w="110"/>
            </w:tcMar>
          </w:tcPr>
          <w:p>
            <w:pPr>
              <w:spacing w:after="0" w:before="0"/>
              <w:jc w:val="left"/>
            </w:pPr>
            <w:r>
              <w:rPr>
                <w:sz w:val="22"/>
                <w:szCs w:val="22"/>
              </w:rPr>
              <w:t xml:space="preserve">Total BAES</w:t>
            </w:r>
          </w:p>
        </w:tc>
        <w:tc>
          <w:tcPr>
            <w:tcW w:type="pct" w:w="33%"/>
            <w:tcMar>
              <w:top w:type="dxa" w:w="70"/>
              <w:left w:type="dxa" w:w="110"/>
              <w:bottom w:type="dxa" w:w="70"/>
              <w:right w:type="dxa" w:w="110"/>
            </w:tcMar>
          </w:tcPr>
          <w:p>
            <w:pPr>
              <w:spacing w:after="0" w:before="0"/>
              <w:jc w:val="right"/>
            </w:pPr>
            <w:r>
              <w:rPr>
                <w:sz w:val="22"/>
                <w:szCs w:val="22"/>
              </w:rPr>
              <w:t xml:space="preserve">25</w:t>
            </w:r>
          </w:p>
        </w:tc>
        <w:tc>
          <w:tcPr>
            <w:tcW w:type="pct" w:w="33%"/>
            <w:tcMar>
              <w:top w:type="dxa" w:w="70"/>
              <w:left w:type="dxa" w:w="110"/>
              <w:bottom w:type="dxa" w:w="70"/>
              <w:right w:type="dxa" w:w="110"/>
            </w:tcMar>
          </w:tcPr>
          <w:p>
            <w:pPr>
              <w:spacing w:after="0" w:before="0"/>
              <w:jc w:val="left"/>
            </w:pPr>
            <w:r>
              <w:rPr>
                <w:sz w:val="22"/>
                <w:szCs w:val="22"/>
              </w:rPr>
              <w:t xml:space="preserve"/>
            </w:r>
          </w:p>
        </w:tc>
      </w:tr>
    </w:tbl>
    <w:p/>
    <w:p/>
    <w:p>
      <w:pPr>
        <w:spacing w:after="120" w:line="320"/>
        <w:jc w:val="both"/>
      </w:pPr>
      <w:r>
        <w:rPr>
          <w:b/>
          <w:bCs/>
        </w:rPr>
        <w:t xml:space="preserve">Exit and directional signage:</w:t>
      </w:r>
      <w:r>
        <w:t xml:space="preserve"> ISO 7010 E001 (emergency exit) and E002 (exit direction) pictograms installed above all exit doors and at all route decision points. Minimum size 150 × 150 mm. Illuminated by BAES or independent LED backlight.</w:t>
      </w:r>
    </w:p>
    <w:p/>
    <w:p>
      <w:pPr>
        <w:pBdr>
          <w:bottom w:val="single" w:color="E5E1D8" w:sz="6" w:space="1"/>
        </w:pBdr>
        <w:spacing w:after="120" w:before="120"/>
      </w:pPr>
      <w:r>
        <w:t xml:space="preserve"/>
      </w:r>
    </w:p>
    <w:p/>
    <w:p>
      <w:pPr>
        <w:pStyle w:val="Heading3"/>
      </w:pPr>
      <w:bookmarkStart w:name="nexia_h_274" w:id="1"/>
      <w:r>
        <w:rPr>
          <w:b/>
          <w:bCs/>
        </w:rPr>
        <w:t xml:space="preserve">1.8.3.  </w:t>
      </w:r>
      <w:r>
        <w:t xml:space="preserve">DIAGRAM 4 — ISO 7010 SAFETY PICTOGRAM LEGEND — FIRE AND EVACUATION SIGNAGE</w:t>
      </w:r>
      <w:bookmarkEnd w:id="1"/>
    </w:p>
    <w:p/>
    <w:p>
      <w:pPr>
        <w:spacing w:after="120" w:line="320"/>
        <w:jc w:val="both"/>
      </w:pPr>
      <w:r>
        <w:t xml:space="preserve">The legend below shows all ISO 7010 registered safety signs used on this site, with their official reference numbers. All signs comply with ISO 7010:2019/Amd 8:2024 — current version as of August 2026.</w:t>
      </w:r>
    </w:p>
    <w:p/>
    <w:p>
      <w:pPr>
        <w:spacing w:after="80" w:before="120"/>
        <w:jc w:val="center"/>
      </w:pPr>
      <w:r>
        <w:drawing>
          <wp:inline distT="0" distB="0" distL="0" distR="0">
            <wp:extent cx="4572000" cy="3048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4572000" cy="3048000"/>
                    </a:xfrm>
                    <a:prstGeom prst="rect">
                      <a:avLst/>
                    </a:prstGeom>
                  </pic:spPr>
                </pic:pic>
              </a:graphicData>
            </a:graphic>
          </wp:inline>
        </w:drawing>
      </w:r>
    </w:p>
    <w:p>
      <w:pPr>
        <w:spacing w:after="200"/>
        <w:jc w:val="center"/>
      </w:pPr>
      <w:r>
        <w:rPr>
          <w:i/>
          <w:iCs/>
          <w:color w:val="555555"/>
          <w:sz w:val="20"/>
          <w:szCs w:val="20"/>
        </w:rPr>
        <w:t xml:space="preserve">ISO 7010 Safety Pictogram Legend — Fire and Evacuation Signage — Ngoundiane Workshop</w:t>
      </w:r>
    </w:p>
    <w:p/>
    <w:p>
      <w:pPr>
        <w:pBdr>
          <w:bottom w:val="single" w:color="E5E1D8" w:sz="6" w:space="1"/>
        </w:pBdr>
        <w:spacing w:after="120" w:before="120"/>
      </w:pPr>
      <w:r>
        <w:t xml:space="preserve"/>
      </w:r>
    </w:p>
    <w:p/>
    <w:p>
      <w:pPr>
        <w:pStyle w:val="Heading2"/>
      </w:pPr>
      <w:bookmarkStart w:name="nexia_h_282" w:id="1"/>
      <w:r>
        <w:rPr>
          <w:b/>
          <w:bCs/>
        </w:rPr>
        <w:t xml:space="preserve">1.9.  </w:t>
      </w:r>
      <w:r>
        <w:t xml:space="preserve">Fire Safety Organisation</w:t>
      </w:r>
      <w:bookmarkEnd w:id="1"/>
    </w:p>
    <w:p/>
    <w:p>
      <w:pPr>
        <w:pStyle w:val="Heading3"/>
      </w:pPr>
      <w:bookmarkStart w:name="nexia_h_284" w:id="1"/>
      <w:r>
        <w:rPr>
          <w:b/>
          <w:bCs/>
        </w:rPr>
        <w:t xml:space="preserve">1.9.1.  </w:t>
      </w:r>
      <w:r>
        <w:t xml:space="preserve">Fire Safety Team (FST)</w:t>
      </w:r>
      <w:bookmarkEnd w:id="1"/>
    </w:p>
    <w:p/>
    <w:tbl>
      <w:tblPr>
        <w:tblW w:type="pct" w:w="100%"/>
        <w:tblBorders>
          <w:top w:val="single" w:color="BFBFBF" w:sz="6"/>
          <w:left w:val="single" w:color="BFBFBF" w:sz="6"/>
          <w:bottom w:val="single" w:color="BFBFBF" w:sz="6"/>
          <w:right w:val="single" w:color="BFBFBF" w:sz="6"/>
          <w:insideH w:val="single" w:color="BFBFBF" w:sz="6"/>
          <w:insideV w:val="single" w:color="BFBFBF" w:sz="6"/>
        </w:tblBorders>
      </w:tblPr>
      <w:tblGrid>
        <w:gridCol w:w="100"/>
        <w:gridCol w:w="100"/>
        <w:gridCol w:w="100"/>
      </w:tblGrid>
      <w:tr>
        <w:trPr>
          <w:tblHeader/>
        </w:trPr>
        <w:tc>
          <w:tcPr>
            <w:tcW w:type="pct" w:w="33%"/>
            <w:shd w:fill="1A1F2E" w:color="auto" w:val="clear"/>
            <w:tcMar>
              <w:top w:type="dxa" w:w="100"/>
              <w:left w:type="dxa" w:w="110"/>
              <w:bottom w:type="dxa" w:w="100"/>
              <w:right w:type="dxa" w:w="110"/>
            </w:tcMar>
          </w:tcPr>
          <w:p>
            <w:pPr>
              <w:spacing w:after="0" w:before="0"/>
              <w:jc w:val="left"/>
            </w:pPr>
            <w:r>
              <w:rPr>
                <w:b/>
                <w:bCs/>
                <w:color w:val="FFFFFF"/>
                <w:sz w:val="22"/>
                <w:szCs w:val="22"/>
              </w:rPr>
              <w:t xml:space="preserve">Role</w:t>
            </w:r>
          </w:p>
        </w:tc>
        <w:tc>
          <w:tcPr>
            <w:tcW w:type="pct" w:w="33%"/>
            <w:shd w:fill="1A1F2E" w:color="auto" w:val="clear"/>
            <w:tcMar>
              <w:top w:type="dxa" w:w="100"/>
              <w:left w:type="dxa" w:w="110"/>
              <w:bottom w:type="dxa" w:w="100"/>
              <w:right w:type="dxa" w:w="110"/>
            </w:tcMar>
          </w:tcPr>
          <w:p>
            <w:pPr>
              <w:spacing w:after="0" w:before="0"/>
              <w:jc w:val="left"/>
            </w:pPr>
            <w:r>
              <w:rPr>
                <w:b/>
                <w:bCs/>
                <w:color w:val="FFFFFF"/>
                <w:sz w:val="22"/>
                <w:szCs w:val="22"/>
              </w:rPr>
              <w:t xml:space="preserve">Number</w:t>
            </w:r>
          </w:p>
        </w:tc>
        <w:tc>
          <w:tcPr>
            <w:tcW w:type="pct" w:w="33%"/>
            <w:shd w:fill="1A1F2E" w:color="auto" w:val="clear"/>
            <w:tcMar>
              <w:top w:type="dxa" w:w="100"/>
              <w:left w:type="dxa" w:w="110"/>
              <w:bottom w:type="dxa" w:w="100"/>
              <w:right w:type="dxa" w:w="110"/>
            </w:tcMar>
          </w:tcPr>
          <w:p>
            <w:pPr>
              <w:spacing w:after="0" w:before="0"/>
              <w:jc w:val="left"/>
            </w:pPr>
            <w:r>
              <w:rPr>
                <w:b/>
                <w:bCs/>
                <w:color w:val="FFFFFF"/>
                <w:sz w:val="22"/>
                <w:szCs w:val="22"/>
              </w:rPr>
              <w:t xml:space="preserve">Core missions</w:t>
            </w:r>
          </w:p>
        </w:tc>
      </w:tr>
      <w:tr>
        <w:tc>
          <w:tcPr>
            <w:tcW w:type="pct" w:w="33%"/>
            <w:tcMar>
              <w:top w:type="dxa" w:w="70"/>
              <w:left w:type="dxa" w:w="110"/>
              <w:bottom w:type="dxa" w:w="70"/>
              <w:right w:type="dxa" w:w="110"/>
            </w:tcMar>
          </w:tcPr>
          <w:p>
            <w:pPr>
              <w:spacing w:after="0" w:before="0"/>
              <w:jc w:val="left"/>
            </w:pPr>
            <w:r>
              <w:rPr>
                <w:sz w:val="22"/>
                <w:szCs w:val="22"/>
              </w:rPr>
              <w:t xml:space="preserve">Fire Safety Officer (FSO)</w:t>
            </w:r>
          </w:p>
        </w:tc>
        <w:tc>
          <w:tcPr>
            <w:tcW w:type="pct" w:w="33%"/>
            <w:tcMar>
              <w:top w:type="dxa" w:w="70"/>
              <w:left w:type="dxa" w:w="110"/>
              <w:bottom w:type="dxa" w:w="70"/>
              <w:right w:type="dxa" w:w="110"/>
            </w:tcMar>
          </w:tcPr>
          <w:p>
            <w:pPr>
              <w:spacing w:after="0" w:before="0"/>
              <w:jc w:val="left"/>
            </w:pPr>
            <w:r>
              <w:rPr>
                <w:sz w:val="22"/>
                <w:szCs w:val="22"/>
              </w:rPr>
              <w:t xml:space="preserve">1 (nominated by name)</w:t>
            </w:r>
          </w:p>
        </w:tc>
        <w:tc>
          <w:tcPr>
            <w:tcW w:type="pct" w:w="33%"/>
            <w:tcMar>
              <w:top w:type="dxa" w:w="70"/>
              <w:left w:type="dxa" w:w="110"/>
              <w:bottom w:type="dxa" w:w="70"/>
              <w:right w:type="dxa" w:w="110"/>
            </w:tcMar>
          </w:tcPr>
          <w:p>
            <w:pPr>
              <w:spacing w:after="0" w:before="0"/>
              <w:jc w:val="left"/>
            </w:pPr>
            <w:r>
              <w:rPr>
                <w:sz w:val="22"/>
                <w:szCs w:val="22"/>
              </w:rPr>
              <w:t xml:space="preserve">Overall supervision, evacuation decision, fire brigade contact, safety register maintenance</w:t>
            </w:r>
          </w:p>
        </w:tc>
      </w:tr>
      <w:tr>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First Response Team member (FRT)</w:t>
            </w:r>
          </w:p>
        </w:tc>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2 minimum</w:t>
            </w:r>
          </w:p>
        </w:tc>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Initial fire attack with portable extinguishers or FHR, manual alarm activation, zone clearance</w:t>
            </w:r>
          </w:p>
        </w:tc>
      </w:tr>
      <w:tr>
        <w:tc>
          <w:tcPr>
            <w:tcW w:type="pct" w:w="33%"/>
            <w:tcMar>
              <w:top w:type="dxa" w:w="70"/>
              <w:left w:type="dxa" w:w="110"/>
              <w:bottom w:type="dxa" w:w="70"/>
              <w:right w:type="dxa" w:w="110"/>
            </w:tcMar>
          </w:tcPr>
          <w:p>
            <w:pPr>
              <w:spacing w:after="0" w:before="0"/>
              <w:jc w:val="left"/>
            </w:pPr>
            <w:r>
              <w:rPr>
                <w:sz w:val="22"/>
                <w:szCs w:val="22"/>
              </w:rPr>
              <w:t xml:space="preserve">Sweep marshals</w:t>
            </w:r>
          </w:p>
        </w:tc>
        <w:tc>
          <w:tcPr>
            <w:tcW w:type="pct" w:w="33%"/>
            <w:tcMar>
              <w:top w:type="dxa" w:w="70"/>
              <w:left w:type="dxa" w:w="110"/>
              <w:bottom w:type="dxa" w:w="70"/>
              <w:right w:type="dxa" w:w="110"/>
            </w:tcMar>
          </w:tcPr>
          <w:p>
            <w:pPr>
              <w:spacing w:after="0" w:before="0"/>
              <w:jc w:val="left"/>
            </w:pPr>
            <w:r>
              <w:rPr>
                <w:sz w:val="22"/>
                <w:szCs w:val="22"/>
              </w:rPr>
              <w:t xml:space="preserve">1 per zone</w:t>
            </w:r>
          </w:p>
        </w:tc>
        <w:tc>
          <w:tcPr>
            <w:tcW w:type="pct" w:w="33%"/>
            <w:tcMar>
              <w:top w:type="dxa" w:w="70"/>
              <w:left w:type="dxa" w:w="110"/>
              <w:bottom w:type="dxa" w:w="70"/>
              <w:right w:type="dxa" w:w="110"/>
            </w:tcMar>
          </w:tcPr>
          <w:p>
            <w:pPr>
              <w:spacing w:after="0" w:before="0"/>
              <w:jc w:val="left"/>
            </w:pPr>
            <w:r>
              <w:rPr>
                <w:sz w:val="22"/>
                <w:szCs w:val="22"/>
              </w:rPr>
              <w:t xml:space="preserve">Close fire doors, sweep zone, confirm all persons accounted for at assembly point</w:t>
            </w:r>
          </w:p>
        </w:tc>
      </w:tr>
      <w:tr>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Night guard</w:t>
            </w:r>
          </w:p>
        </w:tc>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1</w:t>
            </w:r>
          </w:p>
        </w:tc>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Night rounds (minimum every 2 hours), 24h/7 monitoring of FDP repeat panel, immediate fire brigade notification</w:t>
            </w:r>
          </w:p>
        </w:tc>
      </w:tr>
    </w:tbl>
    <w:p/>
    <w:p/>
    <w:p>
      <w:pPr>
        <w:spacing w:after="120" w:line="320"/>
        <w:jc w:val="both"/>
      </w:pPr>
      <w:r>
        <w:t xml:space="preserve">The FSO must be nominated in writing by the establishment manager before commissioning. The nomination letter is kept in the safety register and updated whenever the designation changes.</w:t>
      </w:r>
    </w:p>
    <w:p/>
    <w:p>
      <w:pPr>
        <w:pStyle w:val="Heading3"/>
      </w:pPr>
      <w:bookmarkStart w:name="nexia_h_290" w:id="1"/>
      <w:r>
        <w:rPr>
          <w:b/>
          <w:bCs/>
        </w:rPr>
        <w:t xml:space="preserve">1.9.2.  </w:t>
      </w:r>
      <w:r>
        <w:t xml:space="preserve">General Instructions in Case of Fire</w:t>
      </w:r>
      <w:bookmarkEnd w:id="1"/>
    </w:p>
    <w:p/>
    <w:p>
      <w:pPr>
        <w:spacing w:after="120" w:line="320"/>
        <w:jc w:val="both"/>
      </w:pPr>
      <w:r>
        <w:t xml:space="preserve">The following instructions are displayed in all zones in English and in Wolof:</w:t>
      </w:r>
    </w:p>
    <w:p/>
    <w:p>
      <w:pPr>
        <w:spacing w:after="120" w:line="320"/>
        <w:jc w:val="both"/>
      </w:pPr>
      <w:r>
        <w:rPr>
          <w:b/>
          <w:bCs/>
        </w:rPr>
        <w:t xml:space="preserve">① RAISE THE ALARM</w:t>
      </w:r>
      <w:r>
        <w:t xml:space="preserve"> — Activate the nearest red break-glass Manual Call Point (MCP) </w:t>
      </w:r>
      <w:r>
        <w:rPr>
          <w:b/>
          <w:bCs/>
        </w:rPr>
        <w:t xml:space="preserve">② ALERT THE FIRE BRIGADE</w:t>
      </w:r>
      <w:r>
        <w:t xml:space="preserve"> — </w:t>
      </w:r>
      <w:r>
        <w:rPr>
          <w:b/>
          <w:bCs/>
        </w:rPr>
        <w:t xml:space="preserve">Dial 18</w:t>
      </w:r>
      <w:r>
        <w:t xml:space="preserve"> (Thiès fire brigade) — address: Ngoundiane premium door workshop, RN3 road </w:t>
      </w:r>
      <w:r>
        <w:rPr>
          <w:b/>
          <w:bCs/>
        </w:rPr>
        <w:t xml:space="preserve">③ ATTACK IF POSSIBLE</w:t>
      </w:r>
      <w:r>
        <w:t xml:space="preserve"> — Use the nearest appropriate extinguisher or FHR — back to the exit — only if the fire is small and contained </w:t>
      </w:r>
      <w:r>
        <w:rPr>
          <w:b/>
          <w:bCs/>
        </w:rPr>
        <w:t xml:space="preserve">④ EVACUATE</w:t>
      </w:r>
      <w:r>
        <w:t xml:space="preserve"> — Use the designated emergency exits — do not use corridors filled with smoke — do not go back inside </w:t>
      </w:r>
      <w:r>
        <w:rPr>
          <w:b/>
          <w:bCs/>
        </w:rPr>
        <w:t xml:space="preserve">⑤ ASSEMBLE</w:t>
      </w:r>
      <w:r>
        <w:t xml:space="preserve"> — Report to the </w:t>
      </w:r>
      <w:r>
        <w:rPr>
          <w:b/>
          <w:bCs/>
        </w:rPr>
        <w:t xml:space="preserve">North Car Park Assembly Point</w:t>
      </w:r>
      <w:r>
        <w:t xml:space="preserve"> — remain there until roll call complete </w:t>
      </w:r>
      <w:r>
        <w:rPr>
          <w:b/>
          <w:bCs/>
        </w:rPr>
        <w:t xml:space="preserve">⑥ RECEIVE THE BRIGADE</w:t>
      </w:r>
      <w:r>
        <w:t xml:space="preserve"> — FSO or designated FRT member meets fire brigade at the main entrance with site plan and safety register</w:t>
      </w:r>
    </w:p>
    <w:p/>
    <w:p>
      <w:pPr>
        <w:pStyle w:val="Heading3"/>
      </w:pPr>
      <w:bookmarkStart w:name="nexia_h_296" w:id="1"/>
      <w:r>
        <w:rPr>
          <w:b/>
          <w:bCs/>
        </w:rPr>
        <w:t xml:space="preserve">1.9.3.  </w:t>
      </w:r>
      <w:r>
        <w:t xml:space="preserve">Staff Training Programme</w:t>
      </w:r>
      <w:bookmarkEnd w:id="1"/>
    </w:p>
    <w:p/>
    <w:tbl>
      <w:tblPr>
        <w:tblW w:type="pct" w:w="100%"/>
        <w:tblBorders>
          <w:top w:val="single" w:color="BFBFBF" w:sz="6"/>
          <w:left w:val="single" w:color="BFBFBF" w:sz="6"/>
          <w:bottom w:val="single" w:color="BFBFBF" w:sz="6"/>
          <w:right w:val="single" w:color="BFBFBF" w:sz="6"/>
          <w:insideH w:val="single" w:color="BFBFBF" w:sz="6"/>
          <w:insideV w:val="single" w:color="BFBFBF" w:sz="6"/>
        </w:tblBorders>
      </w:tblPr>
      <w:tblGrid>
        <w:gridCol w:w="100"/>
        <w:gridCol w:w="100"/>
        <w:gridCol w:w="100"/>
        <w:gridCol w:w="100"/>
      </w:tblGrid>
      <w:tr>
        <w:trPr>
          <w:tblHeader/>
        </w:trPr>
        <w:tc>
          <w:tcPr>
            <w:tcW w:type="pct" w:w="25%"/>
            <w:shd w:fill="1A1F2E" w:color="auto" w:val="clear"/>
            <w:tcMar>
              <w:top w:type="dxa" w:w="100"/>
              <w:left w:type="dxa" w:w="110"/>
              <w:bottom w:type="dxa" w:w="100"/>
              <w:right w:type="dxa" w:w="110"/>
            </w:tcMar>
          </w:tcPr>
          <w:p>
            <w:pPr>
              <w:spacing w:after="0" w:before="0"/>
              <w:jc w:val="left"/>
            </w:pPr>
            <w:r>
              <w:rPr>
                <w:b/>
                <w:bCs/>
                <w:color w:val="FFFFFF"/>
                <w:sz w:val="22"/>
                <w:szCs w:val="22"/>
              </w:rPr>
              <w:t xml:space="preserve">Training</w:t>
            </w:r>
          </w:p>
        </w:tc>
        <w:tc>
          <w:tcPr>
            <w:tcW w:type="pct" w:w="25%"/>
            <w:shd w:fill="1A1F2E" w:color="auto" w:val="clear"/>
            <w:tcMar>
              <w:top w:type="dxa" w:w="100"/>
              <w:left w:type="dxa" w:w="110"/>
              <w:bottom w:type="dxa" w:w="100"/>
              <w:right w:type="dxa" w:w="110"/>
            </w:tcMar>
          </w:tcPr>
          <w:p>
            <w:pPr>
              <w:spacing w:after="0" w:before="0"/>
              <w:jc w:val="left"/>
            </w:pPr>
            <w:r>
              <w:rPr>
                <w:b/>
                <w:bCs/>
                <w:color w:val="FFFFFF"/>
                <w:sz w:val="22"/>
                <w:szCs w:val="22"/>
              </w:rPr>
              <w:t xml:space="preserve">Frequency</w:t>
            </w:r>
          </w:p>
        </w:tc>
        <w:tc>
          <w:tcPr>
            <w:tcW w:type="pct" w:w="25%"/>
            <w:shd w:fill="1A1F2E" w:color="auto" w:val="clear"/>
            <w:tcMar>
              <w:top w:type="dxa" w:w="100"/>
              <w:left w:type="dxa" w:w="110"/>
              <w:bottom w:type="dxa" w:w="100"/>
              <w:right w:type="dxa" w:w="110"/>
            </w:tcMar>
          </w:tcPr>
          <w:p>
            <w:pPr>
              <w:spacing w:after="0" w:before="0"/>
              <w:jc w:val="left"/>
            </w:pPr>
            <w:r>
              <w:rPr>
                <w:b/>
                <w:bCs/>
                <w:color w:val="FFFFFF"/>
                <w:sz w:val="22"/>
                <w:szCs w:val="22"/>
              </w:rPr>
              <w:t xml:space="preserve">Participants</w:t>
            </w:r>
          </w:p>
        </w:tc>
        <w:tc>
          <w:tcPr>
            <w:tcW w:type="pct" w:w="25%"/>
            <w:shd w:fill="1A1F2E" w:color="auto" w:val="clear"/>
            <w:tcMar>
              <w:top w:type="dxa" w:w="100"/>
              <w:left w:type="dxa" w:w="110"/>
              <w:bottom w:type="dxa" w:w="100"/>
              <w:right w:type="dxa" w:w="110"/>
            </w:tcMar>
          </w:tcPr>
          <w:p>
            <w:pPr>
              <w:spacing w:after="0" w:before="0"/>
              <w:jc w:val="left"/>
            </w:pPr>
            <w:r>
              <w:rPr>
                <w:b/>
                <w:bCs/>
                <w:color w:val="FFFFFF"/>
                <w:sz w:val="22"/>
                <w:szCs w:val="22"/>
              </w:rPr>
              <w:t xml:space="preserve">Minimum duration</w:t>
            </w:r>
          </w:p>
        </w:tc>
      </w:tr>
      <w:tr>
        <w:tc>
          <w:tcPr>
            <w:tcW w:type="pct" w:w="25%"/>
            <w:tcMar>
              <w:top w:type="dxa" w:w="70"/>
              <w:left w:type="dxa" w:w="110"/>
              <w:bottom w:type="dxa" w:w="70"/>
              <w:right w:type="dxa" w:w="110"/>
            </w:tcMar>
          </w:tcPr>
          <w:p>
            <w:pPr>
              <w:spacing w:after="0" w:before="0"/>
              <w:jc w:val="left"/>
            </w:pPr>
            <w:r>
              <w:rPr>
                <w:sz w:val="22"/>
                <w:szCs w:val="22"/>
              </w:rPr>
              <w:t xml:space="preserve">Evacuation drill</w:t>
            </w:r>
          </w:p>
        </w:tc>
        <w:tc>
          <w:tcPr>
            <w:tcW w:type="pct" w:w="25%"/>
            <w:tcMar>
              <w:top w:type="dxa" w:w="70"/>
              <w:left w:type="dxa" w:w="110"/>
              <w:bottom w:type="dxa" w:w="70"/>
              <w:right w:type="dxa" w:w="110"/>
            </w:tcMar>
          </w:tcPr>
          <w:p>
            <w:pPr>
              <w:spacing w:after="0" w:before="0"/>
              <w:jc w:val="left"/>
            </w:pPr>
            <w:r>
              <w:rPr>
                <w:sz w:val="22"/>
                <w:szCs w:val="22"/>
              </w:rPr>
              <w:t xml:space="preserve">Twice per year</w:t>
            </w:r>
          </w:p>
        </w:tc>
        <w:tc>
          <w:tcPr>
            <w:tcW w:type="pct" w:w="25%"/>
            <w:tcMar>
              <w:top w:type="dxa" w:w="70"/>
              <w:left w:type="dxa" w:w="110"/>
              <w:bottom w:type="dxa" w:w="70"/>
              <w:right w:type="dxa" w:w="110"/>
            </w:tcMar>
          </w:tcPr>
          <w:p>
            <w:pPr>
              <w:spacing w:after="0" w:before="0"/>
              <w:jc w:val="left"/>
            </w:pPr>
            <w:r>
              <w:rPr>
                <w:sz w:val="22"/>
                <w:szCs w:val="22"/>
              </w:rPr>
              <w:t xml:space="preserve">All staff</w:t>
            </w:r>
          </w:p>
        </w:tc>
        <w:tc>
          <w:tcPr>
            <w:tcW w:type="pct" w:w="25%"/>
            <w:tcMar>
              <w:top w:type="dxa" w:w="70"/>
              <w:left w:type="dxa" w:w="110"/>
              <w:bottom w:type="dxa" w:w="70"/>
              <w:right w:type="dxa" w:w="110"/>
            </w:tcMar>
          </w:tcPr>
          <w:p>
            <w:pPr>
              <w:spacing w:after="0" w:before="0"/>
              <w:jc w:val="left"/>
            </w:pPr>
            <w:r>
              <w:rPr>
                <w:sz w:val="22"/>
                <w:szCs w:val="22"/>
              </w:rPr>
              <w:t xml:space="preserve">30 minutes + debrief</w:t>
            </w:r>
          </w:p>
        </w:tc>
      </w:tr>
      <w:tr>
        <w:tc>
          <w:tcPr>
            <w:tcW w:type="pct" w:w="25%"/>
            <w:shd w:fill="FAF7F2" w:color="auto" w:val="clear"/>
            <w:tcMar>
              <w:top w:type="dxa" w:w="70"/>
              <w:left w:type="dxa" w:w="110"/>
              <w:bottom w:type="dxa" w:w="70"/>
              <w:right w:type="dxa" w:w="110"/>
            </w:tcMar>
          </w:tcPr>
          <w:p>
            <w:pPr>
              <w:spacing w:after="0" w:before="0"/>
              <w:jc w:val="left"/>
            </w:pPr>
            <w:r>
              <w:rPr>
                <w:sz w:val="22"/>
                <w:szCs w:val="22"/>
              </w:rPr>
              <w:t xml:space="preserve">Portable extinguisher handling</w:t>
            </w:r>
          </w:p>
        </w:tc>
        <w:tc>
          <w:tcPr>
            <w:tcW w:type="pct" w:w="25%"/>
            <w:shd w:fill="FAF7F2" w:color="auto" w:val="clear"/>
            <w:tcMar>
              <w:top w:type="dxa" w:w="70"/>
              <w:left w:type="dxa" w:w="110"/>
              <w:bottom w:type="dxa" w:w="70"/>
              <w:right w:type="dxa" w:w="110"/>
            </w:tcMar>
          </w:tcPr>
          <w:p>
            <w:pPr>
              <w:spacing w:after="0" w:before="0"/>
              <w:jc w:val="left"/>
            </w:pPr>
            <w:r>
              <w:rPr>
                <w:sz w:val="22"/>
                <w:szCs w:val="22"/>
              </w:rPr>
              <w:t xml:space="preserve">Once per year</w:t>
            </w:r>
          </w:p>
        </w:tc>
        <w:tc>
          <w:tcPr>
            <w:tcW w:type="pct" w:w="25%"/>
            <w:shd w:fill="FAF7F2" w:color="auto" w:val="clear"/>
            <w:tcMar>
              <w:top w:type="dxa" w:w="70"/>
              <w:left w:type="dxa" w:w="110"/>
              <w:bottom w:type="dxa" w:w="70"/>
              <w:right w:type="dxa" w:w="110"/>
            </w:tcMar>
          </w:tcPr>
          <w:p>
            <w:pPr>
              <w:spacing w:after="0" w:before="0"/>
              <w:jc w:val="left"/>
            </w:pPr>
            <w:r>
              <w:rPr>
                <w:sz w:val="22"/>
                <w:szCs w:val="22"/>
              </w:rPr>
              <w:t xml:space="preserve">All staff</w:t>
            </w:r>
          </w:p>
        </w:tc>
        <w:tc>
          <w:tcPr>
            <w:tcW w:type="pct" w:w="25%"/>
            <w:shd w:fill="FAF7F2" w:color="auto" w:val="clear"/>
            <w:tcMar>
              <w:top w:type="dxa" w:w="70"/>
              <w:left w:type="dxa" w:w="110"/>
              <w:bottom w:type="dxa" w:w="70"/>
              <w:right w:type="dxa" w:w="110"/>
            </w:tcMar>
          </w:tcPr>
          <w:p>
            <w:pPr>
              <w:spacing w:after="0" w:before="0"/>
              <w:jc w:val="left"/>
            </w:pPr>
            <w:r>
              <w:rPr>
                <w:sz w:val="22"/>
                <w:szCs w:val="22"/>
              </w:rPr>
              <w:t xml:space="preserve">1 hour practical</w:t>
            </w:r>
          </w:p>
        </w:tc>
      </w:tr>
      <w:tr>
        <w:tc>
          <w:tcPr>
            <w:tcW w:type="pct" w:w="25%"/>
            <w:tcMar>
              <w:top w:type="dxa" w:w="70"/>
              <w:left w:type="dxa" w:w="110"/>
              <w:bottom w:type="dxa" w:w="70"/>
              <w:right w:type="dxa" w:w="110"/>
            </w:tcMar>
          </w:tcPr>
          <w:p>
            <w:pPr>
              <w:spacing w:after="0" w:before="0"/>
              <w:jc w:val="left"/>
            </w:pPr>
            <w:r>
              <w:rPr>
                <w:sz w:val="22"/>
                <w:szCs w:val="22"/>
              </w:rPr>
              <w:t xml:space="preserve">First Response Team Level 1</w:t>
            </w:r>
          </w:p>
        </w:tc>
        <w:tc>
          <w:tcPr>
            <w:tcW w:type="pct" w:w="25%"/>
            <w:tcMar>
              <w:top w:type="dxa" w:w="70"/>
              <w:left w:type="dxa" w:w="110"/>
              <w:bottom w:type="dxa" w:w="70"/>
              <w:right w:type="dxa" w:w="110"/>
            </w:tcMar>
          </w:tcPr>
          <w:p>
            <w:pPr>
              <w:spacing w:after="0" w:before="0"/>
              <w:jc w:val="left"/>
            </w:pPr>
            <w:r>
              <w:rPr>
                <w:sz w:val="22"/>
                <w:szCs w:val="22"/>
              </w:rPr>
              <w:t xml:space="preserve">Initial + every 3 years</w:t>
            </w:r>
          </w:p>
        </w:tc>
        <w:tc>
          <w:tcPr>
            <w:tcW w:type="pct" w:w="25%"/>
            <w:tcMar>
              <w:top w:type="dxa" w:w="70"/>
              <w:left w:type="dxa" w:w="110"/>
              <w:bottom w:type="dxa" w:w="70"/>
              <w:right w:type="dxa" w:w="110"/>
            </w:tcMar>
          </w:tcPr>
          <w:p>
            <w:pPr>
              <w:spacing w:after="0" w:before="0"/>
              <w:jc w:val="left"/>
            </w:pPr>
            <w:r>
              <w:rPr>
                <w:sz w:val="22"/>
                <w:szCs w:val="22"/>
              </w:rPr>
              <w:t xml:space="preserve">FRT members</w:t>
            </w:r>
          </w:p>
        </w:tc>
        <w:tc>
          <w:tcPr>
            <w:tcW w:type="pct" w:w="25%"/>
            <w:tcMar>
              <w:top w:type="dxa" w:w="70"/>
              <w:left w:type="dxa" w:w="110"/>
              <w:bottom w:type="dxa" w:w="70"/>
              <w:right w:type="dxa" w:w="110"/>
            </w:tcMar>
          </w:tcPr>
          <w:p>
            <w:pPr>
              <w:spacing w:after="0" w:before="0"/>
              <w:jc w:val="left"/>
            </w:pPr>
            <w:r>
              <w:rPr>
                <w:sz w:val="22"/>
                <w:szCs w:val="22"/>
              </w:rPr>
              <w:t xml:space="preserve">1 day</w:t>
            </w:r>
          </w:p>
        </w:tc>
      </w:tr>
      <w:tr>
        <w:tc>
          <w:tcPr>
            <w:tcW w:type="pct" w:w="25%"/>
            <w:shd w:fill="FAF7F2" w:color="auto" w:val="clear"/>
            <w:tcMar>
              <w:top w:type="dxa" w:w="70"/>
              <w:left w:type="dxa" w:w="110"/>
              <w:bottom w:type="dxa" w:w="70"/>
              <w:right w:type="dxa" w:w="110"/>
            </w:tcMar>
          </w:tcPr>
          <w:p>
            <w:pPr>
              <w:spacing w:after="0" w:before="0"/>
              <w:jc w:val="left"/>
            </w:pPr>
            <w:r>
              <w:rPr>
                <w:sz w:val="22"/>
                <w:szCs w:val="22"/>
              </w:rPr>
              <w:t xml:space="preserve">Fire Safety Officer Level 2</w:t>
            </w:r>
          </w:p>
        </w:tc>
        <w:tc>
          <w:tcPr>
            <w:tcW w:type="pct" w:w="25%"/>
            <w:shd w:fill="FAF7F2" w:color="auto" w:val="clear"/>
            <w:tcMar>
              <w:top w:type="dxa" w:w="70"/>
              <w:left w:type="dxa" w:w="110"/>
              <w:bottom w:type="dxa" w:w="70"/>
              <w:right w:type="dxa" w:w="110"/>
            </w:tcMar>
          </w:tcPr>
          <w:p>
            <w:pPr>
              <w:spacing w:after="0" w:before="0"/>
              <w:jc w:val="left"/>
            </w:pPr>
            <w:r>
              <w:rPr>
                <w:sz w:val="22"/>
                <w:szCs w:val="22"/>
              </w:rPr>
              <w:t xml:space="preserve">Initial + every 3 years</w:t>
            </w:r>
          </w:p>
        </w:tc>
        <w:tc>
          <w:tcPr>
            <w:tcW w:type="pct" w:w="25%"/>
            <w:shd w:fill="FAF7F2" w:color="auto" w:val="clear"/>
            <w:tcMar>
              <w:top w:type="dxa" w:w="70"/>
              <w:left w:type="dxa" w:w="110"/>
              <w:bottom w:type="dxa" w:w="70"/>
              <w:right w:type="dxa" w:w="110"/>
            </w:tcMar>
          </w:tcPr>
          <w:p>
            <w:pPr>
              <w:spacing w:after="0" w:before="0"/>
              <w:jc w:val="left"/>
            </w:pPr>
            <w:r>
              <w:rPr>
                <w:sz w:val="22"/>
                <w:szCs w:val="22"/>
              </w:rPr>
              <w:t xml:space="preserve">FSO</w:t>
            </w:r>
          </w:p>
        </w:tc>
        <w:tc>
          <w:tcPr>
            <w:tcW w:type="pct" w:w="25%"/>
            <w:shd w:fill="FAF7F2" w:color="auto" w:val="clear"/>
            <w:tcMar>
              <w:top w:type="dxa" w:w="70"/>
              <w:left w:type="dxa" w:w="110"/>
              <w:bottom w:type="dxa" w:w="70"/>
              <w:right w:type="dxa" w:w="110"/>
            </w:tcMar>
          </w:tcPr>
          <w:p>
            <w:pPr>
              <w:spacing w:after="0" w:before="0"/>
              <w:jc w:val="left"/>
            </w:pPr>
            <w:r>
              <w:rPr>
                <w:sz w:val="22"/>
                <w:szCs w:val="22"/>
              </w:rPr>
              <w:t xml:space="preserve">2 days</w:t>
            </w:r>
          </w:p>
        </w:tc>
      </w:tr>
      <w:tr>
        <w:tc>
          <w:tcPr>
            <w:tcW w:type="pct" w:w="25%"/>
            <w:tcMar>
              <w:top w:type="dxa" w:w="70"/>
              <w:left w:type="dxa" w:w="110"/>
              <w:bottom w:type="dxa" w:w="70"/>
              <w:right w:type="dxa" w:w="110"/>
            </w:tcMar>
          </w:tcPr>
          <w:p>
            <w:pPr>
              <w:spacing w:after="0" w:before="0"/>
              <w:jc w:val="left"/>
            </w:pPr>
            <w:r>
              <w:rPr>
                <w:sz w:val="22"/>
                <w:szCs w:val="22"/>
              </w:rPr>
              <w:t xml:space="preserve">PSC1 basic first aid</w:t>
            </w:r>
          </w:p>
        </w:tc>
        <w:tc>
          <w:tcPr>
            <w:tcW w:type="pct" w:w="25%"/>
            <w:tcMar>
              <w:top w:type="dxa" w:w="70"/>
              <w:left w:type="dxa" w:w="110"/>
              <w:bottom w:type="dxa" w:w="70"/>
              <w:right w:type="dxa" w:w="110"/>
            </w:tcMar>
          </w:tcPr>
          <w:p>
            <w:pPr>
              <w:spacing w:after="0" w:before="0"/>
              <w:jc w:val="left"/>
            </w:pPr>
            <w:r>
              <w:rPr>
                <w:sz w:val="22"/>
                <w:szCs w:val="22"/>
              </w:rPr>
              <w:t xml:space="preserve">Initial + every 2 years</w:t>
            </w:r>
          </w:p>
        </w:tc>
        <w:tc>
          <w:tcPr>
            <w:tcW w:type="pct" w:w="25%"/>
            <w:tcMar>
              <w:top w:type="dxa" w:w="70"/>
              <w:left w:type="dxa" w:w="110"/>
              <w:bottom w:type="dxa" w:w="70"/>
              <w:right w:type="dxa" w:w="110"/>
            </w:tcMar>
          </w:tcPr>
          <w:p>
            <w:pPr>
              <w:spacing w:after="0" w:before="0"/>
              <w:jc w:val="left"/>
            </w:pPr>
            <w:r>
              <w:rPr>
                <w:sz w:val="22"/>
                <w:szCs w:val="22"/>
              </w:rPr>
              <w:t xml:space="preserve">2 per department</w:t>
            </w:r>
          </w:p>
        </w:tc>
        <w:tc>
          <w:tcPr>
            <w:tcW w:type="pct" w:w="25%"/>
            <w:tcMar>
              <w:top w:type="dxa" w:w="70"/>
              <w:left w:type="dxa" w:w="110"/>
              <w:bottom w:type="dxa" w:w="70"/>
              <w:right w:type="dxa" w:w="110"/>
            </w:tcMar>
          </w:tcPr>
          <w:p>
            <w:pPr>
              <w:spacing w:after="0" w:before="0"/>
              <w:jc w:val="left"/>
            </w:pPr>
            <w:r>
              <w:rPr>
                <w:sz w:val="22"/>
                <w:szCs w:val="22"/>
              </w:rPr>
              <w:t xml:space="preserve">1 day</w:t>
            </w:r>
          </w:p>
        </w:tc>
      </w:tr>
    </w:tbl>
    <w:p/>
    <w:p/>
    <w:p>
      <w:pPr>
        <w:spacing w:after="120" w:line="320"/>
        <w:jc w:val="both"/>
      </w:pPr>
      <w:r>
        <w:t xml:space="preserve">All training sessions are documented in the safety register with date, trainer identity, list of participants and competency assessment result.</w:t>
      </w:r>
    </w:p>
    <w:p/>
    <w:p>
      <w:pPr>
        <w:pBdr>
          <w:bottom w:val="single" w:color="E5E1D8" w:sz="6" w:space="1"/>
        </w:pBdr>
        <w:spacing w:after="120" w:before="120"/>
      </w:pPr>
      <w:r>
        <w:t xml:space="preserve"/>
      </w:r>
    </w:p>
    <w:p/>
    <w:p>
      <w:pPr>
        <w:pStyle w:val="Heading2"/>
      </w:pPr>
      <w:bookmarkStart w:name="nexia_h_304" w:id="1"/>
      <w:r>
        <w:rPr>
          <w:b/>
          <w:bCs/>
        </w:rPr>
        <w:t xml:space="preserve">1.10.  </w:t>
      </w:r>
      <w:r>
        <w:t xml:space="preserve">Hot Work Permit and Prevention Plan</w:t>
      </w:r>
      <w:bookmarkEnd w:id="1"/>
    </w:p>
    <w:p/>
    <w:p>
      <w:pPr>
        <w:pStyle w:val="Heading3"/>
      </w:pPr>
      <w:bookmarkStart w:name="nexia_h_306" w:id="1"/>
      <w:r>
        <w:rPr>
          <w:b/>
          <w:bCs/>
        </w:rPr>
        <w:t xml:space="preserve">1.10.1.  </w:t>
      </w:r>
      <w:r>
        <w:t xml:space="preserve">Hot Work Permit — Triggering Operations</w:t>
      </w:r>
      <w:bookmarkEnd w:id="1"/>
    </w:p>
    <w:p/>
    <w:p>
      <w:pPr>
        <w:spacing w:after="120" w:line="320"/>
        <w:jc w:val="both"/>
      </w:pPr>
      <w:r>
        <w:t xml:space="preserve">A </w:t>
      </w:r>
      <w:r>
        <w:rPr>
          <w:b/>
          <w:bCs/>
        </w:rPr>
        <w:t xml:space="preserve">signed Hot Work Permit (HWP)</w:t>
      </w:r>
      <w:r>
        <w:t xml:space="preserve"> is mandatory before any of the following operations inside or within 10 m of any building on site:</w:t>
      </w:r>
    </w:p>
    <w:p/>
    <w:p>
      <w:pPr>
        <w:pStyle w:val="ListParagraph"/>
        <w:numPr>
          <w:ilvl w:val="0"/>
          <w:numId w:val="1"/>
        </w:numPr>
        <w:spacing w:line="300"/>
      </w:pPr>
      <w:r>
        <w:t xml:space="preserve">Electric arc welding, TIG or MIG welding</w:t>
      </w:r>
    </w:p>
    <w:p>
      <w:pPr>
        <w:pStyle w:val="ListParagraph"/>
        <w:numPr>
          <w:ilvl w:val="0"/>
          <w:numId w:val="1"/>
        </w:numPr>
        <w:spacing w:line="300"/>
      </w:pPr>
      <w:r>
        <w:t xml:space="preserve">Oxy-acetylene cutting or brazing</w:t>
      </w:r>
    </w:p>
    <w:p>
      <w:pPr>
        <w:pStyle w:val="ListParagraph"/>
        <w:numPr>
          <w:ilvl w:val="0"/>
          <w:numId w:val="1"/>
        </w:numPr>
        <w:spacing w:line="300"/>
      </w:pPr>
      <w:r>
        <w:t xml:space="preserve">Angle grinding or disc cutting generating sparks</w:t>
      </w:r>
    </w:p>
    <w:p>
      <w:pPr>
        <w:pStyle w:val="ListParagraph"/>
        <w:numPr>
          <w:ilvl w:val="0"/>
          <w:numId w:val="1"/>
        </w:numPr>
        <w:spacing w:line="300"/>
      </w:pPr>
      <w:r>
        <w:t xml:space="preserve">Any portable heating appliance producing open flame</w:t>
      </w:r>
    </w:p>
    <w:p>
      <w:pPr>
        <w:pStyle w:val="ListParagraph"/>
        <w:numPr>
          <w:ilvl w:val="0"/>
          <w:numId w:val="1"/>
        </w:numPr>
        <w:spacing w:line="300"/>
      </w:pPr>
      <w:r>
        <w:t xml:space="preserve">Thermal paint stripping — heat gun</w:t>
      </w:r>
    </w:p>
    <w:p/>
    <w:p>
      <w:pPr>
        <w:spacing w:after="120" w:line="320"/>
        <w:jc w:val="both"/>
      </w:pPr>
      <w:r>
        <w:rPr>
          <w:b/>
          <w:bCs/>
        </w:rPr>
        <w:t xml:space="preserve">Hot Work Permit — mandatory content:</w:t>
      </w:r>
    </w:p>
    <w:p/>
    <w:tbl>
      <w:tblPr>
        <w:tblW w:type="pct" w:w="100%"/>
        <w:tblBorders>
          <w:top w:val="single" w:color="BFBFBF" w:sz="6"/>
          <w:left w:val="single" w:color="BFBFBF" w:sz="6"/>
          <w:bottom w:val="single" w:color="BFBFBF" w:sz="6"/>
          <w:right w:val="single" w:color="BFBFBF" w:sz="6"/>
          <w:insideH w:val="single" w:color="BFBFBF" w:sz="6"/>
          <w:insideV w:val="single" w:color="BFBFBF" w:sz="6"/>
        </w:tblBorders>
      </w:tblPr>
      <w:tblGrid>
        <w:gridCol w:w="100"/>
        <w:gridCol w:w="100"/>
      </w:tblGrid>
      <w:tr>
        <w:trPr>
          <w:tblHeader/>
        </w:trPr>
        <w:tc>
          <w:tcPr>
            <w:tcW w:type="pct" w:w="50%"/>
            <w:shd w:fill="1A1F2E" w:color="auto" w:val="clear"/>
            <w:tcMar>
              <w:top w:type="dxa" w:w="100"/>
              <w:left w:type="dxa" w:w="110"/>
              <w:bottom w:type="dxa" w:w="100"/>
              <w:right w:type="dxa" w:w="110"/>
            </w:tcMar>
          </w:tcPr>
          <w:p>
            <w:pPr>
              <w:spacing w:after="0" w:before="0"/>
              <w:jc w:val="left"/>
            </w:pPr>
            <w:r>
              <w:rPr>
                <w:b/>
                <w:bCs/>
                <w:color w:val="FFFFFF"/>
                <w:sz w:val="22"/>
                <w:szCs w:val="22"/>
              </w:rPr>
              <w:t xml:space="preserve">Field</w:t>
            </w:r>
          </w:p>
        </w:tc>
        <w:tc>
          <w:tcPr>
            <w:tcW w:type="pct" w:w="50%"/>
            <w:shd w:fill="1A1F2E" w:color="auto" w:val="clear"/>
            <w:tcMar>
              <w:top w:type="dxa" w:w="100"/>
              <w:left w:type="dxa" w:w="110"/>
              <w:bottom w:type="dxa" w:w="100"/>
              <w:right w:type="dxa" w:w="110"/>
            </w:tcMar>
          </w:tcPr>
          <w:p>
            <w:pPr>
              <w:spacing w:after="0" w:before="0"/>
              <w:jc w:val="left"/>
            </w:pPr>
            <w:r>
              <w:rPr>
                <w:b/>
                <w:bCs/>
                <w:color w:val="FFFFFF"/>
                <w:sz w:val="22"/>
                <w:szCs w:val="22"/>
              </w:rPr>
              <w:t xml:space="preserve">Detail</w:t>
            </w:r>
          </w:p>
        </w:tc>
      </w:tr>
      <w:tr>
        <w:tc>
          <w:tcPr>
            <w:tcW w:type="pct" w:w="50%"/>
            <w:tcMar>
              <w:top w:type="dxa" w:w="70"/>
              <w:left w:type="dxa" w:w="110"/>
              <w:bottom w:type="dxa" w:w="70"/>
              <w:right w:type="dxa" w:w="110"/>
            </w:tcMar>
          </w:tcPr>
          <w:p>
            <w:pPr>
              <w:spacing w:after="0" w:before="0"/>
              <w:jc w:val="left"/>
            </w:pPr>
            <w:r>
              <w:rPr>
                <w:sz w:val="22"/>
                <w:szCs w:val="22"/>
              </w:rPr>
              <w:t xml:space="preserve">Date and valid duration</w:t>
            </w:r>
          </w:p>
        </w:tc>
        <w:tc>
          <w:tcPr>
            <w:tcW w:type="pct" w:w="50%"/>
            <w:tcMar>
              <w:top w:type="dxa" w:w="70"/>
              <w:left w:type="dxa" w:w="110"/>
              <w:bottom w:type="dxa" w:w="70"/>
              <w:right w:type="dxa" w:w="110"/>
            </w:tcMar>
          </w:tcPr>
          <w:p>
            <w:pPr>
              <w:spacing w:after="0" w:before="0"/>
              <w:jc w:val="left"/>
            </w:pPr>
            <w:r>
              <w:rPr>
                <w:sz w:val="22"/>
                <w:szCs w:val="22"/>
              </w:rPr>
              <w:t xml:space="preserve">Maximum one working day — not renewable without new inspection</w:t>
            </w:r>
          </w:p>
        </w:tc>
      </w:tr>
      <w:tr>
        <w:tc>
          <w:tcPr>
            <w:tcW w:type="pct" w:w="50%"/>
            <w:shd w:fill="FAF7F2" w:color="auto" w:val="clear"/>
            <w:tcMar>
              <w:top w:type="dxa" w:w="70"/>
              <w:left w:type="dxa" w:w="110"/>
              <w:bottom w:type="dxa" w:w="70"/>
              <w:right w:type="dxa" w:w="110"/>
            </w:tcMar>
          </w:tcPr>
          <w:p>
            <w:pPr>
              <w:spacing w:after="0" w:before="0"/>
              <w:jc w:val="left"/>
            </w:pPr>
            <w:r>
              <w:rPr>
                <w:sz w:val="22"/>
                <w:szCs w:val="22"/>
              </w:rPr>
              <w:t xml:space="preserve">Exact work location</w:t>
            </w:r>
          </w:p>
        </w:tc>
        <w:tc>
          <w:tcPr>
            <w:tcW w:type="pct" w:w="50%"/>
            <w:shd w:fill="FAF7F2" w:color="auto" w:val="clear"/>
            <w:tcMar>
              <w:top w:type="dxa" w:w="70"/>
              <w:left w:type="dxa" w:w="110"/>
              <w:bottom w:type="dxa" w:w="70"/>
              <w:right w:type="dxa" w:w="110"/>
            </w:tcMar>
          </w:tcPr>
          <w:p>
            <w:pPr>
              <w:spacing w:after="0" w:before="0"/>
              <w:jc w:val="left"/>
            </w:pPr>
            <w:r>
              <w:rPr>
                <w:sz w:val="22"/>
                <w:szCs w:val="22"/>
              </w:rPr>
              <w:t xml:space="preserve">Zone, coordinates from a fixed reference point</w:t>
            </w:r>
          </w:p>
        </w:tc>
      </w:tr>
      <w:tr>
        <w:tc>
          <w:tcPr>
            <w:tcW w:type="pct" w:w="50%"/>
            <w:tcMar>
              <w:top w:type="dxa" w:w="70"/>
              <w:left w:type="dxa" w:w="110"/>
              <w:bottom w:type="dxa" w:w="70"/>
              <w:right w:type="dxa" w:w="110"/>
            </w:tcMar>
          </w:tcPr>
          <w:p>
            <w:pPr>
              <w:spacing w:after="0" w:before="0"/>
              <w:jc w:val="left"/>
            </w:pPr>
            <w:r>
              <w:rPr>
                <w:sz w:val="22"/>
                <w:szCs w:val="22"/>
              </w:rPr>
              <w:t xml:space="preserve">Nature of hot work</w:t>
            </w:r>
          </w:p>
        </w:tc>
        <w:tc>
          <w:tcPr>
            <w:tcW w:type="pct" w:w="50%"/>
            <w:tcMar>
              <w:top w:type="dxa" w:w="70"/>
              <w:left w:type="dxa" w:w="110"/>
              <w:bottom w:type="dxa" w:w="70"/>
              <w:right w:type="dxa" w:w="110"/>
            </w:tcMar>
          </w:tcPr>
          <w:p>
            <w:pPr>
              <w:spacing w:after="0" w:before="0"/>
              <w:jc w:val="left"/>
            </w:pPr>
            <w:r>
              <w:rPr>
                <w:sz w:val="22"/>
                <w:szCs w:val="22"/>
              </w:rPr>
              <w:t xml:space="preserve">Description of operation and tools</w:t>
            </w:r>
          </w:p>
        </w:tc>
      </w:tr>
      <w:tr>
        <w:tc>
          <w:tcPr>
            <w:tcW w:type="pct" w:w="50%"/>
            <w:shd w:fill="FAF7F2" w:color="auto" w:val="clear"/>
            <w:tcMar>
              <w:top w:type="dxa" w:w="70"/>
              <w:left w:type="dxa" w:w="110"/>
              <w:bottom w:type="dxa" w:w="70"/>
              <w:right w:type="dxa" w:w="110"/>
            </w:tcMar>
          </w:tcPr>
          <w:p>
            <w:pPr>
              <w:spacing w:after="0" w:before="0"/>
              <w:jc w:val="left"/>
            </w:pPr>
            <w:r>
              <w:rPr>
                <w:sz w:val="22"/>
                <w:szCs w:val="22"/>
              </w:rPr>
              <w:t xml:space="preserve">Preventive measures before work</w:t>
            </w:r>
          </w:p>
        </w:tc>
        <w:tc>
          <w:tcPr>
            <w:tcW w:type="pct" w:w="50%"/>
            <w:shd w:fill="FAF7F2" w:color="auto" w:val="clear"/>
            <w:tcMar>
              <w:top w:type="dxa" w:w="70"/>
              <w:left w:type="dxa" w:w="110"/>
              <w:bottom w:type="dxa" w:w="70"/>
              <w:right w:type="dxa" w:w="110"/>
            </w:tcMar>
          </w:tcPr>
          <w:p>
            <w:pPr>
              <w:spacing w:after="0" w:before="0"/>
              <w:jc w:val="left"/>
            </w:pPr>
            <w:r>
              <w:rPr>
                <w:sz w:val="22"/>
                <w:szCs w:val="22"/>
              </w:rPr>
              <w:t xml:space="preserve">Fire-resistant blanket deployed — CO² extinguisher at workstation</w:t>
            </w:r>
          </w:p>
        </w:tc>
      </w:tr>
      <w:tr>
        <w:tc>
          <w:tcPr>
            <w:tcW w:type="pct" w:w="50%"/>
            <w:tcMar>
              <w:top w:type="dxa" w:w="70"/>
              <w:left w:type="dxa" w:w="110"/>
              <w:bottom w:type="dxa" w:w="70"/>
              <w:right w:type="dxa" w:w="110"/>
            </w:tcMar>
          </w:tcPr>
          <w:p>
            <w:pPr>
              <w:spacing w:after="0" w:before="0"/>
              <w:jc w:val="left"/>
            </w:pPr>
            <w:r>
              <w:rPr>
                <w:sz w:val="22"/>
                <w:szCs w:val="22"/>
              </w:rPr>
              <w:t xml:space="preserve">Preventive measures during work</w:t>
            </w:r>
          </w:p>
        </w:tc>
        <w:tc>
          <w:tcPr>
            <w:tcW w:type="pct" w:w="50%"/>
            <w:tcMar>
              <w:top w:type="dxa" w:w="70"/>
              <w:left w:type="dxa" w:w="110"/>
              <w:bottom w:type="dxa" w:w="70"/>
              <w:right w:type="dxa" w:w="110"/>
            </w:tcMar>
          </w:tcPr>
          <w:p>
            <w:pPr>
              <w:spacing w:after="0" w:before="0"/>
              <w:jc w:val="left"/>
            </w:pPr>
            <w:r>
              <w:rPr>
                <w:sz w:val="22"/>
                <w:szCs w:val="22"/>
              </w:rPr>
              <w:t xml:space="preserve">FRT member on standby in zone</w:t>
            </w:r>
          </w:p>
        </w:tc>
      </w:tr>
      <w:tr>
        <w:tc>
          <w:tcPr>
            <w:tcW w:type="pct" w:w="50%"/>
            <w:shd w:fill="FAF7F2" w:color="auto" w:val="clear"/>
            <w:tcMar>
              <w:top w:type="dxa" w:w="70"/>
              <w:left w:type="dxa" w:w="110"/>
              <w:bottom w:type="dxa" w:w="70"/>
              <w:right w:type="dxa" w:w="110"/>
            </w:tcMar>
          </w:tcPr>
          <w:p>
            <w:pPr>
              <w:spacing w:after="0" w:before="0"/>
              <w:jc w:val="left"/>
            </w:pPr>
            <w:r>
              <w:rPr>
                <w:sz w:val="22"/>
                <w:szCs w:val="22"/>
              </w:rPr>
              <w:t xml:space="preserve">Post-work inspection</w:t>
            </w:r>
          </w:p>
        </w:tc>
        <w:tc>
          <w:tcPr>
            <w:tcW w:type="pct" w:w="50%"/>
            <w:shd w:fill="FAF7F2" w:color="auto" w:val="clear"/>
            <w:tcMar>
              <w:top w:type="dxa" w:w="70"/>
              <w:left w:type="dxa" w:w="110"/>
              <w:bottom w:type="dxa" w:w="70"/>
              <w:right w:type="dxa" w:w="110"/>
            </w:tcMar>
          </w:tcPr>
          <w:p>
            <w:pPr>
              <w:spacing w:after="0" w:before="0"/>
              <w:jc w:val="left"/>
            </w:pPr>
            <w:r>
              <w:rPr>
                <w:sz w:val="22"/>
                <w:szCs w:val="22"/>
              </w:rPr>
              <w:t xml:space="preserve">2-hour fire watch after end of hot work — signed by FRT member</w:t>
            </w:r>
          </w:p>
        </w:tc>
      </w:tr>
      <w:tr>
        <w:tc>
          <w:tcPr>
            <w:tcW w:type="pct" w:w="50%"/>
            <w:tcMar>
              <w:top w:type="dxa" w:w="70"/>
              <w:left w:type="dxa" w:w="110"/>
              <w:bottom w:type="dxa" w:w="70"/>
              <w:right w:type="dxa" w:w="110"/>
            </w:tcMar>
          </w:tcPr>
          <w:p>
            <w:pPr>
              <w:spacing w:after="0" w:before="0"/>
              <w:jc w:val="left"/>
            </w:pPr>
            <w:r>
              <w:rPr>
                <w:sz w:val="22"/>
                <w:szCs w:val="22"/>
              </w:rPr>
              <w:t xml:space="preserve">Mandatory signatures</w:t>
            </w:r>
          </w:p>
        </w:tc>
        <w:tc>
          <w:tcPr>
            <w:tcW w:type="pct" w:w="50%"/>
            <w:tcMar>
              <w:top w:type="dxa" w:w="70"/>
              <w:left w:type="dxa" w:w="110"/>
              <w:bottom w:type="dxa" w:w="70"/>
              <w:right w:type="dxa" w:w="110"/>
            </w:tcMar>
          </w:tcPr>
          <w:p>
            <w:pPr>
              <w:spacing w:after="0" w:before="0"/>
              <w:jc w:val="left"/>
            </w:pPr>
            <w:r>
              <w:rPr>
                <w:sz w:val="22"/>
                <w:szCs w:val="22"/>
              </w:rPr>
              <w:t xml:space="preserve">Operator + Fire Safety Officer (both required)</w:t>
            </w:r>
          </w:p>
        </w:tc>
      </w:tr>
    </w:tbl>
    <w:p/>
    <w:p/>
    <w:p>
      <w:pPr>
        <w:spacing w:after="120" w:line="320"/>
        <w:jc w:val="both"/>
      </w:pPr>
      <w:r>
        <w:t xml:space="preserve">All completed HWPs are archived in the safety register for a minimum of </w:t>
      </w:r>
      <w:r>
        <w:rPr>
          <w:b/>
          <w:bCs/>
        </w:rPr>
        <w:t xml:space="preserve">5 years</w:t>
      </w:r>
      <w:r>
        <w:t xml:space="preserve">.</w:t>
      </w:r>
    </w:p>
    <w:p/>
    <w:p>
      <w:pPr>
        <w:pStyle w:val="Heading3"/>
      </w:pPr>
      <w:bookmarkStart w:name="nexia_h_322" w:id="1"/>
      <w:r>
        <w:rPr>
          <w:b/>
          <w:bCs/>
        </w:rPr>
        <w:t xml:space="preserve">1.10.2.  </w:t>
      </w:r>
      <w:r>
        <w:t xml:space="preserve">Combustible Waste Management</w:t>
      </w:r>
      <w:bookmarkEnd w:id="1"/>
    </w:p>
    <w:p/>
    <w:tbl>
      <w:tblPr>
        <w:tblW w:type="pct" w:w="100%"/>
        <w:tblBorders>
          <w:top w:val="single" w:color="BFBFBF" w:sz="6"/>
          <w:left w:val="single" w:color="BFBFBF" w:sz="6"/>
          <w:bottom w:val="single" w:color="BFBFBF" w:sz="6"/>
          <w:right w:val="single" w:color="BFBFBF" w:sz="6"/>
          <w:insideH w:val="single" w:color="BFBFBF" w:sz="6"/>
          <w:insideV w:val="single" w:color="BFBFBF" w:sz="6"/>
        </w:tblBorders>
      </w:tblPr>
      <w:tblGrid>
        <w:gridCol w:w="100"/>
        <w:gridCol w:w="100"/>
        <w:gridCol w:w="100"/>
        <w:gridCol w:w="100"/>
      </w:tblGrid>
      <w:tr>
        <w:trPr>
          <w:tblHeader/>
        </w:trPr>
        <w:tc>
          <w:tcPr>
            <w:tcW w:type="pct" w:w="25%"/>
            <w:shd w:fill="1A1F2E" w:color="auto" w:val="clear"/>
            <w:tcMar>
              <w:top w:type="dxa" w:w="100"/>
              <w:left w:type="dxa" w:w="110"/>
              <w:bottom w:type="dxa" w:w="100"/>
              <w:right w:type="dxa" w:w="110"/>
            </w:tcMar>
          </w:tcPr>
          <w:p>
            <w:pPr>
              <w:spacing w:after="0" w:before="0"/>
              <w:jc w:val="left"/>
            </w:pPr>
            <w:r>
              <w:rPr>
                <w:b/>
                <w:bCs/>
                <w:color w:val="FFFFFF"/>
                <w:sz w:val="22"/>
                <w:szCs w:val="22"/>
              </w:rPr>
              <w:t xml:space="preserve">Waste type</w:t>
            </w:r>
          </w:p>
        </w:tc>
        <w:tc>
          <w:tcPr>
            <w:tcW w:type="pct" w:w="25%"/>
            <w:shd w:fill="1A1F2E" w:color="auto" w:val="clear"/>
            <w:tcMar>
              <w:top w:type="dxa" w:w="100"/>
              <w:left w:type="dxa" w:w="110"/>
              <w:bottom w:type="dxa" w:w="100"/>
              <w:right w:type="dxa" w:w="110"/>
            </w:tcMar>
          </w:tcPr>
          <w:p>
            <w:pPr>
              <w:spacing w:after="0" w:before="0"/>
              <w:jc w:val="left"/>
            </w:pPr>
            <w:r>
              <w:rPr>
                <w:b/>
                <w:bCs/>
                <w:color w:val="FFFFFF"/>
                <w:sz w:val="22"/>
                <w:szCs w:val="22"/>
              </w:rPr>
              <w:t xml:space="preserve">Collection frequency</w:t>
            </w:r>
          </w:p>
        </w:tc>
        <w:tc>
          <w:tcPr>
            <w:tcW w:type="pct" w:w="25%"/>
            <w:shd w:fill="1A1F2E" w:color="auto" w:val="clear"/>
            <w:tcMar>
              <w:top w:type="dxa" w:w="100"/>
              <w:left w:type="dxa" w:w="110"/>
              <w:bottom w:type="dxa" w:w="100"/>
              <w:right w:type="dxa" w:w="110"/>
            </w:tcMar>
          </w:tcPr>
          <w:p>
            <w:pPr>
              <w:spacing w:after="0" w:before="0"/>
              <w:jc w:val="left"/>
            </w:pPr>
            <w:r>
              <w:rPr>
                <w:b/>
                <w:bCs/>
                <w:color w:val="FFFFFF"/>
                <w:sz w:val="22"/>
                <w:szCs w:val="22"/>
              </w:rPr>
              <w:t xml:space="preserve">Container</w:t>
            </w:r>
          </w:p>
        </w:tc>
        <w:tc>
          <w:tcPr>
            <w:tcW w:type="pct" w:w="25%"/>
            <w:shd w:fill="1A1F2E" w:color="auto" w:val="clear"/>
            <w:tcMar>
              <w:top w:type="dxa" w:w="100"/>
              <w:left w:type="dxa" w:w="110"/>
              <w:bottom w:type="dxa" w:w="100"/>
              <w:right w:type="dxa" w:w="110"/>
            </w:tcMar>
          </w:tcPr>
          <w:p>
            <w:pPr>
              <w:spacing w:after="0" w:before="0"/>
              <w:jc w:val="left"/>
            </w:pPr>
            <w:r>
              <w:rPr>
                <w:b/>
                <w:bCs/>
                <w:color w:val="FFFFFF"/>
                <w:sz w:val="22"/>
                <w:szCs w:val="22"/>
              </w:rPr>
              <w:t xml:space="preserve">Storage location</w:t>
            </w:r>
          </w:p>
        </w:tc>
      </w:tr>
      <w:tr>
        <w:tc>
          <w:tcPr>
            <w:tcW w:type="pct" w:w="25%"/>
            <w:tcMar>
              <w:top w:type="dxa" w:w="70"/>
              <w:left w:type="dxa" w:w="110"/>
              <w:bottom w:type="dxa" w:w="70"/>
              <w:right w:type="dxa" w:w="110"/>
            </w:tcMar>
          </w:tcPr>
          <w:p>
            <w:pPr>
              <w:spacing w:after="0" w:before="0"/>
              <w:jc w:val="left"/>
            </w:pPr>
            <w:r>
              <w:rPr>
                <w:sz w:val="22"/>
                <w:szCs w:val="22"/>
              </w:rPr>
              <w:t xml:space="preserve">Wood dust and shavings</w:t>
            </w:r>
          </w:p>
        </w:tc>
        <w:tc>
          <w:tcPr>
            <w:tcW w:type="pct" w:w="25%"/>
            <w:tcMar>
              <w:top w:type="dxa" w:w="70"/>
              <w:left w:type="dxa" w:w="110"/>
              <w:bottom w:type="dxa" w:w="70"/>
              <w:right w:type="dxa" w:w="110"/>
            </w:tcMar>
          </w:tcPr>
          <w:p>
            <w:pPr>
              <w:spacing w:after="0" w:before="0"/>
              <w:jc w:val="left"/>
            </w:pPr>
            <w:r>
              <w:rPr>
                <w:sz w:val="22"/>
                <w:szCs w:val="22"/>
              </w:rPr>
              <w:t xml:space="preserve">Continuous — centralised vacuum extraction</w:t>
            </w:r>
          </w:p>
        </w:tc>
        <w:tc>
          <w:tcPr>
            <w:tcW w:type="pct" w:w="25%"/>
            <w:tcMar>
              <w:top w:type="dxa" w:w="70"/>
              <w:left w:type="dxa" w:w="110"/>
              <w:bottom w:type="dxa" w:w="70"/>
              <w:right w:type="dxa" w:w="110"/>
            </w:tcMar>
          </w:tcPr>
          <w:p>
            <w:pPr>
              <w:spacing w:after="0" w:before="0"/>
              <w:jc w:val="left"/>
            </w:pPr>
            <w:r>
              <w:rPr>
                <w:sz w:val="22"/>
                <w:szCs w:val="22"/>
              </w:rPr>
              <w:t xml:space="preserve">Sealed external silo</w:t>
            </w:r>
          </w:p>
        </w:tc>
        <w:tc>
          <w:tcPr>
            <w:tcW w:type="pct" w:w="25%"/>
            <w:tcMar>
              <w:top w:type="dxa" w:w="70"/>
              <w:left w:type="dxa" w:w="110"/>
              <w:bottom w:type="dxa" w:w="70"/>
              <w:right w:type="dxa" w:w="110"/>
            </w:tcMar>
          </w:tcPr>
          <w:p>
            <w:pPr>
              <w:spacing w:after="0" w:before="0"/>
              <w:jc w:val="left"/>
            </w:pPr>
            <w:r>
              <w:rPr>
                <w:sz w:val="22"/>
                <w:szCs w:val="22"/>
              </w:rPr>
              <w:t xml:space="preserve">Outside all buildings</w:t>
            </w:r>
          </w:p>
        </w:tc>
      </w:tr>
      <w:tr>
        <w:tc>
          <w:tcPr>
            <w:tcW w:type="pct" w:w="25%"/>
            <w:shd w:fill="FAF7F2" w:color="auto" w:val="clear"/>
            <w:tcMar>
              <w:top w:type="dxa" w:w="70"/>
              <w:left w:type="dxa" w:w="110"/>
              <w:bottom w:type="dxa" w:w="70"/>
              <w:right w:type="dxa" w:w="110"/>
            </w:tcMar>
          </w:tcPr>
          <w:p>
            <w:pPr>
              <w:spacing w:after="0" w:before="0"/>
              <w:jc w:val="left"/>
            </w:pPr>
            <w:r>
              <w:rPr>
                <w:sz w:val="22"/>
                <w:szCs w:val="22"/>
              </w:rPr>
              <w:t xml:space="preserve">Solvent-soaked or oil-soaked rags</w:t>
            </w:r>
          </w:p>
        </w:tc>
        <w:tc>
          <w:tcPr>
            <w:tcW w:type="pct" w:w="25%"/>
            <w:shd w:fill="FAF7F2" w:color="auto" w:val="clear"/>
            <w:tcMar>
              <w:top w:type="dxa" w:w="70"/>
              <w:left w:type="dxa" w:w="110"/>
              <w:bottom w:type="dxa" w:w="70"/>
              <w:right w:type="dxa" w:w="110"/>
            </w:tcMar>
          </w:tcPr>
          <w:p>
            <w:pPr>
              <w:spacing w:after="0" w:before="0"/>
              <w:jc w:val="left"/>
            </w:pPr>
            <w:r>
              <w:rPr>
                <w:sz w:val="22"/>
                <w:szCs w:val="22"/>
              </w:rPr>
              <w:t xml:space="preserve">Immediately after use</w:t>
            </w:r>
          </w:p>
        </w:tc>
        <w:tc>
          <w:tcPr>
            <w:tcW w:type="pct" w:w="25%"/>
            <w:shd w:fill="FAF7F2" w:color="auto" w:val="clear"/>
            <w:tcMar>
              <w:top w:type="dxa" w:w="70"/>
              <w:left w:type="dxa" w:w="110"/>
              <w:bottom w:type="dxa" w:w="70"/>
              <w:right w:type="dxa" w:w="110"/>
            </w:tcMar>
          </w:tcPr>
          <w:p>
            <w:pPr>
              <w:spacing w:after="0" w:before="0"/>
              <w:jc w:val="left"/>
            </w:pPr>
            <w:r>
              <w:rPr>
                <w:sz w:val="22"/>
                <w:szCs w:val="22"/>
              </w:rPr>
              <w:t xml:space="preserve">Metal bin with tight-fitting lid</w:t>
            </w:r>
          </w:p>
        </w:tc>
        <w:tc>
          <w:tcPr>
            <w:tcW w:type="pct" w:w="25%"/>
            <w:shd w:fill="FAF7F2" w:color="auto" w:val="clear"/>
            <w:tcMar>
              <w:top w:type="dxa" w:w="70"/>
              <w:left w:type="dxa" w:w="110"/>
              <w:bottom w:type="dxa" w:w="70"/>
              <w:right w:type="dxa" w:w="110"/>
            </w:tcMar>
          </w:tcPr>
          <w:p>
            <w:pPr>
              <w:spacing w:after="0" w:before="0"/>
              <w:jc w:val="left"/>
            </w:pPr>
            <w:r>
              <w:rPr>
                <w:sz w:val="22"/>
                <w:szCs w:val="22"/>
              </w:rPr>
              <w:t xml:space="preserve">Dedicated ventilated room</w:t>
            </w:r>
          </w:p>
        </w:tc>
      </w:tr>
      <w:tr>
        <w:tc>
          <w:tcPr>
            <w:tcW w:type="pct" w:w="25%"/>
            <w:tcMar>
              <w:top w:type="dxa" w:w="70"/>
              <w:left w:type="dxa" w:w="110"/>
              <w:bottom w:type="dxa" w:w="70"/>
              <w:right w:type="dxa" w:w="110"/>
            </w:tcMar>
          </w:tcPr>
          <w:p>
            <w:pPr>
              <w:spacing w:after="0" w:before="0"/>
              <w:jc w:val="left"/>
            </w:pPr>
            <w:r>
              <w:rPr>
                <w:sz w:val="22"/>
                <w:szCs w:val="22"/>
              </w:rPr>
              <w:t xml:space="preserve">Wood off-cuts and scraps</w:t>
            </w:r>
          </w:p>
        </w:tc>
        <w:tc>
          <w:tcPr>
            <w:tcW w:type="pct" w:w="25%"/>
            <w:tcMar>
              <w:top w:type="dxa" w:w="70"/>
              <w:left w:type="dxa" w:w="110"/>
              <w:bottom w:type="dxa" w:w="70"/>
              <w:right w:type="dxa" w:w="110"/>
            </w:tcMar>
          </w:tcPr>
          <w:p>
            <w:pPr>
              <w:spacing w:after="0" w:before="0"/>
              <w:jc w:val="left"/>
            </w:pPr>
            <w:r>
              <w:rPr>
                <w:sz w:val="22"/>
                <w:szCs w:val="22"/>
              </w:rPr>
              <w:t xml:space="preserve">End of each working day</w:t>
            </w:r>
          </w:p>
        </w:tc>
        <w:tc>
          <w:tcPr>
            <w:tcW w:type="pct" w:w="25%"/>
            <w:tcMar>
              <w:top w:type="dxa" w:w="70"/>
              <w:left w:type="dxa" w:w="110"/>
              <w:bottom w:type="dxa" w:w="70"/>
              <w:right w:type="dxa" w:w="110"/>
            </w:tcMar>
          </w:tcPr>
          <w:p>
            <w:pPr>
              <w:spacing w:after="0" w:before="0"/>
              <w:jc w:val="left"/>
            </w:pPr>
            <w:r>
              <w:rPr>
                <w:sz w:val="22"/>
                <w:szCs w:val="22"/>
              </w:rPr>
              <w:t xml:space="preserve">Closed metal skip</w:t>
            </w:r>
          </w:p>
        </w:tc>
        <w:tc>
          <w:tcPr>
            <w:tcW w:type="pct" w:w="25%"/>
            <w:tcMar>
              <w:top w:type="dxa" w:w="70"/>
              <w:left w:type="dxa" w:w="110"/>
              <w:bottom w:type="dxa" w:w="70"/>
              <w:right w:type="dxa" w:w="110"/>
            </w:tcMar>
          </w:tcPr>
          <w:p>
            <w:pPr>
              <w:spacing w:after="0" w:before="0"/>
              <w:jc w:val="left"/>
            </w:pPr>
            <w:r>
              <w:rPr>
                <w:sz w:val="22"/>
                <w:szCs w:val="22"/>
              </w:rPr>
              <w:t xml:space="preserve">Exterior — ≥ 5 m from all buildings</w:t>
            </w:r>
          </w:p>
        </w:tc>
      </w:tr>
      <w:tr>
        <w:tc>
          <w:tcPr>
            <w:tcW w:type="pct" w:w="25%"/>
            <w:shd w:fill="FAF7F2" w:color="auto" w:val="clear"/>
            <w:tcMar>
              <w:top w:type="dxa" w:w="70"/>
              <w:left w:type="dxa" w:w="110"/>
              <w:bottom w:type="dxa" w:w="70"/>
              <w:right w:type="dxa" w:w="110"/>
            </w:tcMar>
          </w:tcPr>
          <w:p>
            <w:pPr>
              <w:spacing w:after="0" w:before="0"/>
              <w:jc w:val="left"/>
            </w:pPr>
            <w:r>
              <w:rPr>
                <w:sz w:val="22"/>
                <w:szCs w:val="22"/>
              </w:rPr>
              <w:t xml:space="preserve">Cardboard packaging</w:t>
            </w:r>
          </w:p>
        </w:tc>
        <w:tc>
          <w:tcPr>
            <w:tcW w:type="pct" w:w="25%"/>
            <w:shd w:fill="FAF7F2" w:color="auto" w:val="clear"/>
            <w:tcMar>
              <w:top w:type="dxa" w:w="70"/>
              <w:left w:type="dxa" w:w="110"/>
              <w:bottom w:type="dxa" w:w="70"/>
              <w:right w:type="dxa" w:w="110"/>
            </w:tcMar>
          </w:tcPr>
          <w:p>
            <w:pPr>
              <w:spacing w:after="0" w:before="0"/>
              <w:jc w:val="left"/>
            </w:pPr>
            <w:r>
              <w:rPr>
                <w:sz w:val="22"/>
                <w:szCs w:val="22"/>
              </w:rPr>
              <w:t xml:space="preserve">Daily</w:t>
            </w:r>
          </w:p>
        </w:tc>
        <w:tc>
          <w:tcPr>
            <w:tcW w:type="pct" w:w="25%"/>
            <w:shd w:fill="FAF7F2" w:color="auto" w:val="clear"/>
            <w:tcMar>
              <w:top w:type="dxa" w:w="70"/>
              <w:left w:type="dxa" w:w="110"/>
              <w:bottom w:type="dxa" w:w="70"/>
              <w:right w:type="dxa" w:w="110"/>
            </w:tcMar>
          </w:tcPr>
          <w:p>
            <w:pPr>
              <w:spacing w:after="0" w:before="0"/>
              <w:jc w:val="left"/>
            </w:pPr>
            <w:r>
              <w:rPr>
                <w:sz w:val="22"/>
                <w:szCs w:val="22"/>
              </w:rPr>
              <w:t xml:space="preserve">External skip</w:t>
            </w:r>
          </w:p>
        </w:tc>
        <w:tc>
          <w:tcPr>
            <w:tcW w:type="pct" w:w="25%"/>
            <w:shd w:fill="FAF7F2" w:color="auto" w:val="clear"/>
            <w:tcMar>
              <w:top w:type="dxa" w:w="70"/>
              <w:left w:type="dxa" w:w="110"/>
              <w:bottom w:type="dxa" w:w="70"/>
              <w:right w:type="dxa" w:w="110"/>
            </w:tcMar>
          </w:tcPr>
          <w:p>
            <w:pPr>
              <w:spacing w:after="0" w:before="0"/>
              <w:jc w:val="left"/>
            </w:pPr>
            <w:r>
              <w:rPr>
                <w:sz w:val="22"/>
                <w:szCs w:val="22"/>
              </w:rPr>
              <w:t xml:space="preserve">≥ 5 m from all buildings</w:t>
            </w:r>
          </w:p>
        </w:tc>
      </w:tr>
      <w:tr>
        <w:tc>
          <w:tcPr>
            <w:tcW w:type="pct" w:w="25%"/>
            <w:tcMar>
              <w:top w:type="dxa" w:w="70"/>
              <w:left w:type="dxa" w:w="110"/>
              <w:bottom w:type="dxa" w:w="70"/>
              <w:right w:type="dxa" w:w="110"/>
            </w:tcMar>
          </w:tcPr>
          <w:p>
            <w:pPr>
              <w:spacing w:after="0" w:before="0"/>
              <w:jc w:val="left"/>
            </w:pPr>
            <w:r>
              <w:rPr>
                <w:sz w:val="22"/>
                <w:szCs w:val="22"/>
              </w:rPr>
              <w:t xml:space="preserve">Empty solvent containers</w:t>
            </w:r>
          </w:p>
        </w:tc>
        <w:tc>
          <w:tcPr>
            <w:tcW w:type="pct" w:w="25%"/>
            <w:tcMar>
              <w:top w:type="dxa" w:w="70"/>
              <w:left w:type="dxa" w:w="110"/>
              <w:bottom w:type="dxa" w:w="70"/>
              <w:right w:type="dxa" w:w="110"/>
            </w:tcMar>
          </w:tcPr>
          <w:p>
            <w:pPr>
              <w:spacing w:after="0" w:before="0"/>
              <w:jc w:val="left"/>
            </w:pPr>
            <w:r>
              <w:rPr>
                <w:sz w:val="22"/>
                <w:szCs w:val="22"/>
              </w:rPr>
              <w:t xml:space="preserve">After each use</w:t>
            </w:r>
          </w:p>
        </w:tc>
        <w:tc>
          <w:tcPr>
            <w:tcW w:type="pct" w:w="25%"/>
            <w:tcMar>
              <w:top w:type="dxa" w:w="70"/>
              <w:left w:type="dxa" w:w="110"/>
              <w:bottom w:type="dxa" w:w="70"/>
              <w:right w:type="dxa" w:w="110"/>
            </w:tcMar>
          </w:tcPr>
          <w:p>
            <w:pPr>
              <w:spacing w:after="0" w:before="0"/>
              <w:jc w:val="left"/>
            </w:pPr>
            <w:r>
              <w:rPr>
                <w:sz w:val="22"/>
                <w:szCs w:val="22"/>
              </w:rPr>
              <w:t xml:space="preserve">Labelled sealed container</w:t>
            </w:r>
          </w:p>
        </w:tc>
        <w:tc>
          <w:tcPr>
            <w:tcW w:type="pct" w:w="25%"/>
            <w:tcMar>
              <w:top w:type="dxa" w:w="70"/>
              <w:left w:type="dxa" w:w="110"/>
              <w:bottom w:type="dxa" w:w="70"/>
              <w:right w:type="dxa" w:w="110"/>
            </w:tcMar>
          </w:tcPr>
          <w:p>
            <w:pPr>
              <w:spacing w:after="0" w:before="0"/>
              <w:jc w:val="left"/>
            </w:pPr>
            <w:r>
              <w:rPr>
                <w:sz w:val="22"/>
                <w:szCs w:val="22"/>
              </w:rPr>
              <w:t xml:space="preserve">Dedicated hazardous waste area</w:t>
            </w:r>
          </w:p>
        </w:tc>
      </w:tr>
    </w:tbl>
    <w:p/>
    <w:p/>
    <w:p>
      <w:pPr>
        <w:spacing w:after="120" w:line="320"/>
        <w:jc w:val="both"/>
      </w:pPr>
      <w:r>
        <w:t xml:space="preserve">&gt; ⚠️ </w:t>
      </w:r>
      <w:r>
        <w:rPr>
          <w:b/>
          <w:bCs/>
        </w:rPr>
        <w:t xml:space="preserve">Critical — Auto-ignition hazard:</w:t>
      </w:r>
      <w:r>
        <w:t xml:space="preserve"> Rags soaked in linseed oil, tung oil or other drying oils are capable of </w:t>
      </w:r>
      <w:r>
        <w:rPr>
          <w:b/>
          <w:bCs/>
        </w:rPr>
        <w:t xml:space="preserve">spontaneous self-ignition by exothermic oxidation</w:t>
      </w:r>
      <w:r>
        <w:t xml:space="preserve"> at ambient temperature. The metal bin with lid must be used </w:t>
      </w:r>
      <w:r>
        <w:rPr>
          <w:b/>
          <w:bCs/>
        </w:rPr>
        <w:t xml:space="preserve">immediately</w:t>
      </w:r>
      <w:r>
        <w:t xml:space="preserve"> after each use — no exceptions. This is the most common cause of workshop fires worldwide in furniture and joinery establishments.</w:t>
      </w:r>
    </w:p>
    <w:p/>
    <w:p>
      <w:pPr>
        <w:pBdr>
          <w:bottom w:val="single" w:color="E5E1D8" w:sz="6" w:space="1"/>
        </w:pBdr>
        <w:spacing w:after="120" w:before="120"/>
      </w:pPr>
      <w:r>
        <w:t xml:space="preserve"/>
      </w:r>
    </w:p>
    <w:p/>
    <w:p>
      <w:pPr>
        <w:pStyle w:val="Heading2"/>
      </w:pPr>
      <w:bookmarkStart w:name="nexia_h_330" w:id="1"/>
      <w:r>
        <w:rPr>
          <w:b/>
          <w:bCs/>
        </w:rPr>
        <w:t xml:space="preserve">1.11.  </w:t>
      </w:r>
      <w:r>
        <w:t xml:space="preserve">Safety Register and Periodic Inspections</w:t>
      </w:r>
      <w:bookmarkEnd w:id="1"/>
    </w:p>
    <w:p/>
    <w:p>
      <w:pPr>
        <w:spacing w:after="120" w:line="320"/>
        <w:jc w:val="both"/>
      </w:pPr>
      <w:r>
        <w:t xml:space="preserve">The safety register is the legal document that records all inspections, tests, training events and incidents. It must be kept on site at all times, available for inspection by the fire brigade, labour inspectorate and insurance surveyors.</w:t>
      </w:r>
    </w:p>
    <w:p/>
    <w:tbl>
      <w:tblPr>
        <w:tblW w:type="pct" w:w="100%"/>
        <w:tblBorders>
          <w:top w:val="single" w:color="BFBFBF" w:sz="6"/>
          <w:left w:val="single" w:color="BFBFBF" w:sz="6"/>
          <w:bottom w:val="single" w:color="BFBFBF" w:sz="6"/>
          <w:right w:val="single" w:color="BFBFBF" w:sz="6"/>
          <w:insideH w:val="single" w:color="BFBFBF" w:sz="6"/>
          <w:insideV w:val="single" w:color="BFBFBF" w:sz="6"/>
        </w:tblBorders>
      </w:tblPr>
      <w:tblGrid>
        <w:gridCol w:w="100"/>
        <w:gridCol w:w="100"/>
        <w:gridCol w:w="100"/>
        <w:gridCol w:w="100"/>
      </w:tblGrid>
      <w:tr>
        <w:trPr>
          <w:tblHeader/>
        </w:trPr>
        <w:tc>
          <w:tcPr>
            <w:tcW w:type="pct" w:w="25%"/>
            <w:shd w:fill="1A1F2E" w:color="auto" w:val="clear"/>
            <w:tcMar>
              <w:top w:type="dxa" w:w="100"/>
              <w:left w:type="dxa" w:w="110"/>
              <w:bottom w:type="dxa" w:w="100"/>
              <w:right w:type="dxa" w:w="110"/>
            </w:tcMar>
          </w:tcPr>
          <w:p>
            <w:pPr>
              <w:spacing w:after="0" w:before="0"/>
              <w:jc w:val="left"/>
            </w:pPr>
            <w:r>
              <w:rPr>
                <w:b/>
                <w:bCs/>
                <w:color w:val="FFFFFF"/>
                <w:sz w:val="22"/>
                <w:szCs w:val="22"/>
              </w:rPr>
              <w:t xml:space="preserve">Equipment or action</w:t>
            </w:r>
          </w:p>
        </w:tc>
        <w:tc>
          <w:tcPr>
            <w:tcW w:type="pct" w:w="25%"/>
            <w:shd w:fill="1A1F2E" w:color="auto" w:val="clear"/>
            <w:tcMar>
              <w:top w:type="dxa" w:w="100"/>
              <w:left w:type="dxa" w:w="110"/>
              <w:bottom w:type="dxa" w:w="100"/>
              <w:right w:type="dxa" w:w="110"/>
            </w:tcMar>
          </w:tcPr>
          <w:p>
            <w:pPr>
              <w:spacing w:after="0" w:before="0"/>
              <w:jc w:val="left"/>
            </w:pPr>
            <w:r>
              <w:rPr>
                <w:b/>
                <w:bCs/>
                <w:color w:val="FFFFFF"/>
                <w:sz w:val="22"/>
                <w:szCs w:val="22"/>
              </w:rPr>
              <w:t xml:space="preserve">Frequency</w:t>
            </w:r>
          </w:p>
        </w:tc>
        <w:tc>
          <w:tcPr>
            <w:tcW w:type="pct" w:w="25%"/>
            <w:shd w:fill="1A1F2E" w:color="auto" w:val="clear"/>
            <w:tcMar>
              <w:top w:type="dxa" w:w="100"/>
              <w:left w:type="dxa" w:w="110"/>
              <w:bottom w:type="dxa" w:w="100"/>
              <w:right w:type="dxa" w:w="110"/>
            </w:tcMar>
          </w:tcPr>
          <w:p>
            <w:pPr>
              <w:spacing w:after="0" w:before="0"/>
              <w:jc w:val="left"/>
            </w:pPr>
            <w:r>
              <w:rPr>
                <w:b/>
                <w:bCs/>
                <w:color w:val="FFFFFF"/>
                <w:sz w:val="22"/>
                <w:szCs w:val="22"/>
              </w:rPr>
              <w:t xml:space="preserve">Responsible party</w:t>
            </w:r>
          </w:p>
        </w:tc>
        <w:tc>
          <w:tcPr>
            <w:tcW w:type="pct" w:w="25%"/>
            <w:shd w:fill="1A1F2E" w:color="auto" w:val="clear"/>
            <w:tcMar>
              <w:top w:type="dxa" w:w="100"/>
              <w:left w:type="dxa" w:w="110"/>
              <w:bottom w:type="dxa" w:w="100"/>
              <w:right w:type="dxa" w:w="110"/>
            </w:tcMar>
          </w:tcPr>
          <w:p>
            <w:pPr>
              <w:spacing w:after="0" w:before="0"/>
              <w:jc w:val="left"/>
            </w:pPr>
            <w:r>
              <w:rPr>
                <w:b/>
                <w:bCs/>
                <w:color w:val="FFFFFF"/>
                <w:sz w:val="22"/>
                <w:szCs w:val="22"/>
              </w:rPr>
              <w:t xml:space="preserve">Record in register</w:t>
            </w:r>
          </w:p>
        </w:tc>
      </w:tr>
      <w:tr>
        <w:tc>
          <w:tcPr>
            <w:tcW w:type="pct" w:w="25%"/>
            <w:tcMar>
              <w:top w:type="dxa" w:w="70"/>
              <w:left w:type="dxa" w:w="110"/>
              <w:bottom w:type="dxa" w:w="70"/>
              <w:right w:type="dxa" w:w="110"/>
            </w:tcMar>
          </w:tcPr>
          <w:p>
            <w:pPr>
              <w:spacing w:after="0" w:before="0"/>
              <w:jc w:val="left"/>
            </w:pPr>
            <w:r>
              <w:rPr>
                <w:sz w:val="22"/>
                <w:szCs w:val="22"/>
              </w:rPr>
              <w:t xml:space="preserve">BAES test — 1-hour full discharge</w:t>
            </w:r>
          </w:p>
        </w:tc>
        <w:tc>
          <w:tcPr>
            <w:tcW w:type="pct" w:w="25%"/>
            <w:tcMar>
              <w:top w:type="dxa" w:w="70"/>
              <w:left w:type="dxa" w:w="110"/>
              <w:bottom w:type="dxa" w:w="70"/>
              <w:right w:type="dxa" w:w="110"/>
            </w:tcMar>
          </w:tcPr>
          <w:p>
            <w:pPr>
              <w:spacing w:after="0" w:before="0"/>
              <w:jc w:val="left"/>
            </w:pPr>
            <w:r>
              <w:rPr>
                <w:sz w:val="22"/>
                <w:szCs w:val="22"/>
              </w:rPr>
              <w:t xml:space="preserve">Monthly</w:t>
            </w:r>
          </w:p>
        </w:tc>
        <w:tc>
          <w:tcPr>
            <w:tcW w:type="pct" w:w="25%"/>
            <w:tcMar>
              <w:top w:type="dxa" w:w="70"/>
              <w:left w:type="dxa" w:w="110"/>
              <w:bottom w:type="dxa" w:w="70"/>
              <w:right w:type="dxa" w:w="110"/>
            </w:tcMar>
          </w:tcPr>
          <w:p>
            <w:pPr>
              <w:spacing w:after="0" w:before="0"/>
              <w:jc w:val="left"/>
            </w:pPr>
            <w:r>
              <w:rPr>
                <w:sz w:val="22"/>
                <w:szCs w:val="22"/>
              </w:rPr>
              <w:t xml:space="preserve">FSO</w:t>
            </w:r>
          </w:p>
        </w:tc>
        <w:tc>
          <w:tcPr>
            <w:tcW w:type="pct" w:w="25%"/>
            <w:tcMar>
              <w:top w:type="dxa" w:w="70"/>
              <w:left w:type="dxa" w:w="110"/>
              <w:bottom w:type="dxa" w:w="70"/>
              <w:right w:type="dxa" w:w="110"/>
            </w:tcMar>
          </w:tcPr>
          <w:p>
            <w:pPr>
              <w:spacing w:after="0" w:before="0"/>
              <w:jc w:val="left"/>
            </w:pPr>
            <w:r>
              <w:rPr>
                <w:sz w:val="22"/>
                <w:szCs w:val="22"/>
              </w:rPr>
              <w:t xml:space="preserve">✓</w:t>
            </w:r>
          </w:p>
        </w:tc>
      </w:tr>
      <w:tr>
        <w:tc>
          <w:tcPr>
            <w:tcW w:type="pct" w:w="25%"/>
            <w:shd w:fill="FAF7F2" w:color="auto" w:val="clear"/>
            <w:tcMar>
              <w:top w:type="dxa" w:w="70"/>
              <w:left w:type="dxa" w:w="110"/>
              <w:bottom w:type="dxa" w:w="70"/>
              <w:right w:type="dxa" w:w="110"/>
            </w:tcMar>
          </w:tcPr>
          <w:p>
            <w:pPr>
              <w:spacing w:after="0" w:before="0"/>
              <w:jc w:val="left"/>
            </w:pPr>
            <w:r>
              <w:rPr>
                <w:sz w:val="22"/>
                <w:szCs w:val="22"/>
              </w:rPr>
              <w:t xml:space="preserve">Extinguisher visual inspection</w:t>
            </w:r>
          </w:p>
        </w:tc>
        <w:tc>
          <w:tcPr>
            <w:tcW w:type="pct" w:w="25%"/>
            <w:shd w:fill="FAF7F2" w:color="auto" w:val="clear"/>
            <w:tcMar>
              <w:top w:type="dxa" w:w="70"/>
              <w:left w:type="dxa" w:w="110"/>
              <w:bottom w:type="dxa" w:w="70"/>
              <w:right w:type="dxa" w:w="110"/>
            </w:tcMar>
          </w:tcPr>
          <w:p>
            <w:pPr>
              <w:spacing w:after="0" w:before="0"/>
              <w:jc w:val="left"/>
            </w:pPr>
            <w:r>
              <w:rPr>
                <w:sz w:val="22"/>
                <w:szCs w:val="22"/>
              </w:rPr>
              <w:t xml:space="preserve">Monthly</w:t>
            </w:r>
          </w:p>
        </w:tc>
        <w:tc>
          <w:tcPr>
            <w:tcW w:type="pct" w:w="25%"/>
            <w:shd w:fill="FAF7F2" w:color="auto" w:val="clear"/>
            <w:tcMar>
              <w:top w:type="dxa" w:w="70"/>
              <w:left w:type="dxa" w:w="110"/>
              <w:bottom w:type="dxa" w:w="70"/>
              <w:right w:type="dxa" w:w="110"/>
            </w:tcMar>
          </w:tcPr>
          <w:p>
            <w:pPr>
              <w:spacing w:after="0" w:before="0"/>
              <w:jc w:val="left"/>
            </w:pPr>
            <w:r>
              <w:rPr>
                <w:sz w:val="22"/>
                <w:szCs w:val="22"/>
              </w:rPr>
              <w:t xml:space="preserve">FSO</w:t>
            </w:r>
          </w:p>
        </w:tc>
        <w:tc>
          <w:tcPr>
            <w:tcW w:type="pct" w:w="25%"/>
            <w:shd w:fill="FAF7F2" w:color="auto" w:val="clear"/>
            <w:tcMar>
              <w:top w:type="dxa" w:w="70"/>
              <w:left w:type="dxa" w:w="110"/>
              <w:bottom w:type="dxa" w:w="70"/>
              <w:right w:type="dxa" w:w="110"/>
            </w:tcMar>
          </w:tcPr>
          <w:p>
            <w:pPr>
              <w:spacing w:after="0" w:before="0"/>
              <w:jc w:val="left"/>
            </w:pPr>
            <w:r>
              <w:rPr>
                <w:sz w:val="22"/>
                <w:szCs w:val="22"/>
              </w:rPr>
              <w:t xml:space="preserve">✓</w:t>
            </w:r>
          </w:p>
        </w:tc>
      </w:tr>
      <w:tr>
        <w:tc>
          <w:tcPr>
            <w:tcW w:type="pct" w:w="25%"/>
            <w:tcMar>
              <w:top w:type="dxa" w:w="70"/>
              <w:left w:type="dxa" w:w="110"/>
              <w:bottom w:type="dxa" w:w="70"/>
              <w:right w:type="dxa" w:w="110"/>
            </w:tcMar>
          </w:tcPr>
          <w:p>
            <w:pPr>
              <w:spacing w:after="0" w:before="0"/>
              <w:jc w:val="left"/>
            </w:pPr>
            <w:r>
              <w:rPr>
                <w:sz w:val="22"/>
                <w:szCs w:val="22"/>
              </w:rPr>
              <w:t xml:space="preserve">FHR pressure and hose check</w:t>
            </w:r>
          </w:p>
        </w:tc>
        <w:tc>
          <w:tcPr>
            <w:tcW w:type="pct" w:w="25%"/>
            <w:tcMar>
              <w:top w:type="dxa" w:w="70"/>
              <w:left w:type="dxa" w:w="110"/>
              <w:bottom w:type="dxa" w:w="70"/>
              <w:right w:type="dxa" w:w="110"/>
            </w:tcMar>
          </w:tcPr>
          <w:p>
            <w:pPr>
              <w:spacing w:after="0" w:before="0"/>
              <w:jc w:val="left"/>
            </w:pPr>
            <w:r>
              <w:rPr>
                <w:sz w:val="22"/>
                <w:szCs w:val="22"/>
              </w:rPr>
              <w:t xml:space="preserve">Monthly</w:t>
            </w:r>
          </w:p>
        </w:tc>
        <w:tc>
          <w:tcPr>
            <w:tcW w:type="pct" w:w="25%"/>
            <w:tcMar>
              <w:top w:type="dxa" w:w="70"/>
              <w:left w:type="dxa" w:w="110"/>
              <w:bottom w:type="dxa" w:w="70"/>
              <w:right w:type="dxa" w:w="110"/>
            </w:tcMar>
          </w:tcPr>
          <w:p>
            <w:pPr>
              <w:spacing w:after="0" w:before="0"/>
              <w:jc w:val="left"/>
            </w:pPr>
            <w:r>
              <w:rPr>
                <w:sz w:val="22"/>
                <w:szCs w:val="22"/>
              </w:rPr>
              <w:t xml:space="preserve">FSO</w:t>
            </w:r>
          </w:p>
        </w:tc>
        <w:tc>
          <w:tcPr>
            <w:tcW w:type="pct" w:w="25%"/>
            <w:tcMar>
              <w:top w:type="dxa" w:w="70"/>
              <w:left w:type="dxa" w:w="110"/>
              <w:bottom w:type="dxa" w:w="70"/>
              <w:right w:type="dxa" w:w="110"/>
            </w:tcMar>
          </w:tcPr>
          <w:p>
            <w:pPr>
              <w:spacing w:after="0" w:before="0"/>
              <w:jc w:val="left"/>
            </w:pPr>
            <w:r>
              <w:rPr>
                <w:sz w:val="22"/>
                <w:szCs w:val="22"/>
              </w:rPr>
              <w:t xml:space="preserve">✓</w:t>
            </w:r>
          </w:p>
        </w:tc>
      </w:tr>
      <w:tr>
        <w:tc>
          <w:tcPr>
            <w:tcW w:type="pct" w:w="25%"/>
            <w:shd w:fill="FAF7F2" w:color="auto" w:val="clear"/>
            <w:tcMar>
              <w:top w:type="dxa" w:w="70"/>
              <w:left w:type="dxa" w:w="110"/>
              <w:bottom w:type="dxa" w:w="70"/>
              <w:right w:type="dxa" w:w="110"/>
            </w:tcMar>
          </w:tcPr>
          <w:p>
            <w:pPr>
              <w:spacing w:after="0" w:before="0"/>
              <w:jc w:val="left"/>
            </w:pPr>
            <w:r>
              <w:rPr>
                <w:sz w:val="22"/>
                <w:szCs w:val="22"/>
              </w:rPr>
              <w:t xml:space="preserve">Break-glass MCP test</w:t>
            </w:r>
          </w:p>
        </w:tc>
        <w:tc>
          <w:tcPr>
            <w:tcW w:type="pct" w:w="25%"/>
            <w:shd w:fill="FAF7F2" w:color="auto" w:val="clear"/>
            <w:tcMar>
              <w:top w:type="dxa" w:w="70"/>
              <w:left w:type="dxa" w:w="110"/>
              <w:bottom w:type="dxa" w:w="70"/>
              <w:right w:type="dxa" w:w="110"/>
            </w:tcMar>
          </w:tcPr>
          <w:p>
            <w:pPr>
              <w:spacing w:after="0" w:before="0"/>
              <w:jc w:val="left"/>
            </w:pPr>
            <w:r>
              <w:rPr>
                <w:sz w:val="22"/>
                <w:szCs w:val="22"/>
              </w:rPr>
              <w:t xml:space="preserve">Monthly</w:t>
            </w:r>
          </w:p>
        </w:tc>
        <w:tc>
          <w:tcPr>
            <w:tcW w:type="pct" w:w="25%"/>
            <w:shd w:fill="FAF7F2" w:color="auto" w:val="clear"/>
            <w:tcMar>
              <w:top w:type="dxa" w:w="70"/>
              <w:left w:type="dxa" w:w="110"/>
              <w:bottom w:type="dxa" w:w="70"/>
              <w:right w:type="dxa" w:w="110"/>
            </w:tcMar>
          </w:tcPr>
          <w:p>
            <w:pPr>
              <w:spacing w:after="0" w:before="0"/>
              <w:jc w:val="left"/>
            </w:pPr>
            <w:r>
              <w:rPr>
                <w:sz w:val="22"/>
                <w:szCs w:val="22"/>
              </w:rPr>
              <w:t xml:space="preserve">FSO</w:t>
            </w:r>
          </w:p>
        </w:tc>
        <w:tc>
          <w:tcPr>
            <w:tcW w:type="pct" w:w="25%"/>
            <w:shd w:fill="FAF7F2" w:color="auto" w:val="clear"/>
            <w:tcMar>
              <w:top w:type="dxa" w:w="70"/>
              <w:left w:type="dxa" w:w="110"/>
              <w:bottom w:type="dxa" w:w="70"/>
              <w:right w:type="dxa" w:w="110"/>
            </w:tcMar>
          </w:tcPr>
          <w:p>
            <w:pPr>
              <w:spacing w:after="0" w:before="0"/>
              <w:jc w:val="left"/>
            </w:pPr>
            <w:r>
              <w:rPr>
                <w:sz w:val="22"/>
                <w:szCs w:val="22"/>
              </w:rPr>
              <w:t xml:space="preserve">✓</w:t>
            </w:r>
          </w:p>
        </w:tc>
      </w:tr>
      <w:tr>
        <w:tc>
          <w:tcPr>
            <w:tcW w:type="pct" w:w="25%"/>
            <w:tcMar>
              <w:top w:type="dxa" w:w="70"/>
              <w:left w:type="dxa" w:w="110"/>
              <w:bottom w:type="dxa" w:w="70"/>
              <w:right w:type="dxa" w:w="110"/>
            </w:tcMar>
          </w:tcPr>
          <w:p>
            <w:pPr>
              <w:spacing w:after="0" w:before="0"/>
              <w:jc w:val="left"/>
            </w:pPr>
            <w:r>
              <w:rPr>
                <w:sz w:val="22"/>
                <w:szCs w:val="22"/>
              </w:rPr>
              <w:t xml:space="preserve">FDP + all detectors functional test</w:t>
            </w:r>
          </w:p>
        </w:tc>
        <w:tc>
          <w:tcPr>
            <w:tcW w:type="pct" w:w="25%"/>
            <w:tcMar>
              <w:top w:type="dxa" w:w="70"/>
              <w:left w:type="dxa" w:w="110"/>
              <w:bottom w:type="dxa" w:w="70"/>
              <w:right w:type="dxa" w:w="110"/>
            </w:tcMar>
          </w:tcPr>
          <w:p>
            <w:pPr>
              <w:spacing w:after="0" w:before="0"/>
              <w:jc w:val="left"/>
            </w:pPr>
            <w:r>
              <w:rPr>
                <w:sz w:val="22"/>
                <w:szCs w:val="22"/>
              </w:rPr>
              <w:t xml:space="preserve">Monthly</w:t>
            </w:r>
          </w:p>
        </w:tc>
        <w:tc>
          <w:tcPr>
            <w:tcW w:type="pct" w:w="25%"/>
            <w:tcMar>
              <w:top w:type="dxa" w:w="70"/>
              <w:left w:type="dxa" w:w="110"/>
              <w:bottom w:type="dxa" w:w="70"/>
              <w:right w:type="dxa" w:w="110"/>
            </w:tcMar>
          </w:tcPr>
          <w:p>
            <w:pPr>
              <w:spacing w:after="0" w:before="0"/>
              <w:jc w:val="left"/>
            </w:pPr>
            <w:r>
              <w:rPr>
                <w:sz w:val="22"/>
                <w:szCs w:val="22"/>
              </w:rPr>
              <w:t xml:space="preserve">FSO</w:t>
            </w:r>
          </w:p>
        </w:tc>
        <w:tc>
          <w:tcPr>
            <w:tcW w:type="pct" w:w="25%"/>
            <w:tcMar>
              <w:top w:type="dxa" w:w="70"/>
              <w:left w:type="dxa" w:w="110"/>
              <w:bottom w:type="dxa" w:w="70"/>
              <w:right w:type="dxa" w:w="110"/>
            </w:tcMar>
          </w:tcPr>
          <w:p>
            <w:pPr>
              <w:spacing w:after="0" w:before="0"/>
              <w:jc w:val="left"/>
            </w:pPr>
            <w:r>
              <w:rPr>
                <w:sz w:val="22"/>
                <w:szCs w:val="22"/>
              </w:rPr>
              <w:t xml:space="preserve">✓</w:t>
            </w:r>
          </w:p>
        </w:tc>
      </w:tr>
      <w:tr>
        <w:tc>
          <w:tcPr>
            <w:tcW w:type="pct" w:w="25%"/>
            <w:shd w:fill="FAF7F2" w:color="auto" w:val="clear"/>
            <w:tcMar>
              <w:top w:type="dxa" w:w="70"/>
              <w:left w:type="dxa" w:w="110"/>
              <w:bottom w:type="dxa" w:w="70"/>
              <w:right w:type="dxa" w:w="110"/>
            </w:tcMar>
          </w:tcPr>
          <w:p>
            <w:pPr>
              <w:spacing w:after="0" w:before="0"/>
              <w:jc w:val="left"/>
            </w:pPr>
            <w:r>
              <w:rPr>
                <w:sz w:val="22"/>
                <w:szCs w:val="22"/>
              </w:rPr>
              <w:t xml:space="preserve">Fire water reserve level check</w:t>
            </w:r>
          </w:p>
        </w:tc>
        <w:tc>
          <w:tcPr>
            <w:tcW w:type="pct" w:w="25%"/>
            <w:shd w:fill="FAF7F2" w:color="auto" w:val="clear"/>
            <w:tcMar>
              <w:top w:type="dxa" w:w="70"/>
              <w:left w:type="dxa" w:w="110"/>
              <w:bottom w:type="dxa" w:w="70"/>
              <w:right w:type="dxa" w:w="110"/>
            </w:tcMar>
          </w:tcPr>
          <w:p>
            <w:pPr>
              <w:spacing w:after="0" w:before="0"/>
              <w:jc w:val="left"/>
            </w:pPr>
            <w:r>
              <w:rPr>
                <w:sz w:val="22"/>
                <w:szCs w:val="22"/>
              </w:rPr>
              <w:t xml:space="preserve">Monthly</w:t>
            </w:r>
          </w:p>
        </w:tc>
        <w:tc>
          <w:tcPr>
            <w:tcW w:type="pct" w:w="25%"/>
            <w:shd w:fill="FAF7F2" w:color="auto" w:val="clear"/>
            <w:tcMar>
              <w:top w:type="dxa" w:w="70"/>
              <w:left w:type="dxa" w:w="110"/>
              <w:bottom w:type="dxa" w:w="70"/>
              <w:right w:type="dxa" w:w="110"/>
            </w:tcMar>
          </w:tcPr>
          <w:p>
            <w:pPr>
              <w:spacing w:after="0" w:before="0"/>
              <w:jc w:val="left"/>
            </w:pPr>
            <w:r>
              <w:rPr>
                <w:sz w:val="22"/>
                <w:szCs w:val="22"/>
              </w:rPr>
              <w:t xml:space="preserve">FSO</w:t>
            </w:r>
          </w:p>
        </w:tc>
        <w:tc>
          <w:tcPr>
            <w:tcW w:type="pct" w:w="25%"/>
            <w:shd w:fill="FAF7F2" w:color="auto" w:val="clear"/>
            <w:tcMar>
              <w:top w:type="dxa" w:w="70"/>
              <w:left w:type="dxa" w:w="110"/>
              <w:bottom w:type="dxa" w:w="70"/>
              <w:right w:type="dxa" w:w="110"/>
            </w:tcMar>
          </w:tcPr>
          <w:p>
            <w:pPr>
              <w:spacing w:after="0" w:before="0"/>
              <w:jc w:val="left"/>
            </w:pPr>
            <w:r>
              <w:rPr>
                <w:sz w:val="22"/>
                <w:szCs w:val="22"/>
              </w:rPr>
              <w:t xml:space="preserve">✓</w:t>
            </w:r>
          </w:p>
        </w:tc>
      </w:tr>
      <w:tr>
        <w:tc>
          <w:tcPr>
            <w:tcW w:type="pct" w:w="25%"/>
            <w:tcMar>
              <w:top w:type="dxa" w:w="70"/>
              <w:left w:type="dxa" w:w="110"/>
              <w:bottom w:type="dxa" w:w="70"/>
              <w:right w:type="dxa" w:w="110"/>
            </w:tcMar>
          </w:tcPr>
          <w:p>
            <w:pPr>
              <w:spacing w:after="0" w:before="0"/>
              <w:jc w:val="left"/>
            </w:pPr>
            <w:r>
              <w:rPr>
                <w:sz w:val="22"/>
                <w:szCs w:val="22"/>
              </w:rPr>
              <w:t xml:space="preserve">Evacuation drill</w:t>
            </w:r>
          </w:p>
        </w:tc>
        <w:tc>
          <w:tcPr>
            <w:tcW w:type="pct" w:w="25%"/>
            <w:tcMar>
              <w:top w:type="dxa" w:w="70"/>
              <w:left w:type="dxa" w:w="110"/>
              <w:bottom w:type="dxa" w:w="70"/>
              <w:right w:type="dxa" w:w="110"/>
            </w:tcMar>
          </w:tcPr>
          <w:p>
            <w:pPr>
              <w:spacing w:after="0" w:before="0"/>
              <w:jc w:val="left"/>
            </w:pPr>
            <w:r>
              <w:rPr>
                <w:sz w:val="22"/>
                <w:szCs w:val="22"/>
              </w:rPr>
              <w:t xml:space="preserve">Twice per year</w:t>
            </w:r>
          </w:p>
        </w:tc>
        <w:tc>
          <w:tcPr>
            <w:tcW w:type="pct" w:w="25%"/>
            <w:tcMar>
              <w:top w:type="dxa" w:w="70"/>
              <w:left w:type="dxa" w:w="110"/>
              <w:bottom w:type="dxa" w:w="70"/>
              <w:right w:type="dxa" w:w="110"/>
            </w:tcMar>
          </w:tcPr>
          <w:p>
            <w:pPr>
              <w:spacing w:after="0" w:before="0"/>
              <w:jc w:val="left"/>
            </w:pPr>
            <w:r>
              <w:rPr>
                <w:sz w:val="22"/>
                <w:szCs w:val="22"/>
              </w:rPr>
              <w:t xml:space="preserve">FSO + all staff</w:t>
            </w:r>
          </w:p>
        </w:tc>
        <w:tc>
          <w:tcPr>
            <w:tcW w:type="pct" w:w="25%"/>
            <w:tcMar>
              <w:top w:type="dxa" w:w="70"/>
              <w:left w:type="dxa" w:w="110"/>
              <w:bottom w:type="dxa" w:w="70"/>
              <w:right w:type="dxa" w:w="110"/>
            </w:tcMar>
          </w:tcPr>
          <w:p>
            <w:pPr>
              <w:spacing w:after="0" w:before="0"/>
              <w:jc w:val="left"/>
            </w:pPr>
            <w:r>
              <w:rPr>
                <w:sz w:val="22"/>
                <w:szCs w:val="22"/>
              </w:rPr>
              <w:t xml:space="preserve">✓</w:t>
            </w:r>
          </w:p>
        </w:tc>
      </w:tr>
      <w:tr>
        <w:tc>
          <w:tcPr>
            <w:tcW w:type="pct" w:w="25%"/>
            <w:shd w:fill="FAF7F2" w:color="auto" w:val="clear"/>
            <w:tcMar>
              <w:top w:type="dxa" w:w="70"/>
              <w:left w:type="dxa" w:w="110"/>
              <w:bottom w:type="dxa" w:w="70"/>
              <w:right w:type="dxa" w:w="110"/>
            </w:tcMar>
          </w:tcPr>
          <w:p>
            <w:pPr>
              <w:spacing w:after="0" w:before="0"/>
              <w:jc w:val="left"/>
            </w:pPr>
            <w:r>
              <w:rPr>
                <w:sz w:val="22"/>
                <w:szCs w:val="22"/>
              </w:rPr>
              <w:t xml:space="preserve">Extinguisher servicing</w:t>
            </w:r>
          </w:p>
        </w:tc>
        <w:tc>
          <w:tcPr>
            <w:tcW w:type="pct" w:w="25%"/>
            <w:shd w:fill="FAF7F2" w:color="auto" w:val="clear"/>
            <w:tcMar>
              <w:top w:type="dxa" w:w="70"/>
              <w:left w:type="dxa" w:w="110"/>
              <w:bottom w:type="dxa" w:w="70"/>
              <w:right w:type="dxa" w:w="110"/>
            </w:tcMar>
          </w:tcPr>
          <w:p>
            <w:pPr>
              <w:spacing w:after="0" w:before="0"/>
              <w:jc w:val="left"/>
            </w:pPr>
            <w:r>
              <w:rPr>
                <w:sz w:val="22"/>
                <w:szCs w:val="22"/>
              </w:rPr>
              <w:t xml:space="preserve">Annual</w:t>
            </w:r>
          </w:p>
        </w:tc>
        <w:tc>
          <w:tcPr>
            <w:tcW w:type="pct" w:w="25%"/>
            <w:shd w:fill="FAF7F2" w:color="auto" w:val="clear"/>
            <w:tcMar>
              <w:top w:type="dxa" w:w="70"/>
              <w:left w:type="dxa" w:w="110"/>
              <w:bottom w:type="dxa" w:w="70"/>
              <w:right w:type="dxa" w:w="110"/>
            </w:tcMar>
          </w:tcPr>
          <w:p>
            <w:pPr>
              <w:spacing w:after="0" w:before="0"/>
              <w:jc w:val="left"/>
            </w:pPr>
            <w:r>
              <w:rPr>
                <w:sz w:val="22"/>
                <w:szCs w:val="22"/>
              </w:rPr>
              <w:t xml:space="preserve">Licensed technician</w:t>
            </w:r>
          </w:p>
        </w:tc>
        <w:tc>
          <w:tcPr>
            <w:tcW w:type="pct" w:w="25%"/>
            <w:shd w:fill="FAF7F2" w:color="auto" w:val="clear"/>
            <w:tcMar>
              <w:top w:type="dxa" w:w="70"/>
              <w:left w:type="dxa" w:w="110"/>
              <w:bottom w:type="dxa" w:w="70"/>
              <w:right w:type="dxa" w:w="110"/>
            </w:tcMar>
          </w:tcPr>
          <w:p>
            <w:pPr>
              <w:spacing w:after="0" w:before="0"/>
              <w:jc w:val="left"/>
            </w:pPr>
            <w:r>
              <w:rPr>
                <w:sz w:val="22"/>
                <w:szCs w:val="22"/>
              </w:rPr>
              <w:t xml:space="preserve">✓</w:t>
            </w:r>
          </w:p>
        </w:tc>
      </w:tr>
      <w:tr>
        <w:tc>
          <w:tcPr>
            <w:tcW w:type="pct" w:w="25%"/>
            <w:tcMar>
              <w:top w:type="dxa" w:w="70"/>
              <w:left w:type="dxa" w:w="110"/>
              <w:bottom w:type="dxa" w:w="70"/>
              <w:right w:type="dxa" w:w="110"/>
            </w:tcMar>
          </w:tcPr>
          <w:p>
            <w:pPr>
              <w:spacing w:after="0" w:before="0"/>
              <w:jc w:val="left"/>
            </w:pPr>
            <w:r>
              <w:rPr>
                <w:sz w:val="22"/>
                <w:szCs w:val="22"/>
              </w:rPr>
              <w:t xml:space="preserve">Electrical installation inspection</w:t>
            </w:r>
          </w:p>
        </w:tc>
        <w:tc>
          <w:tcPr>
            <w:tcW w:type="pct" w:w="25%"/>
            <w:tcMar>
              <w:top w:type="dxa" w:w="70"/>
              <w:left w:type="dxa" w:w="110"/>
              <w:bottom w:type="dxa" w:w="70"/>
              <w:right w:type="dxa" w:w="110"/>
            </w:tcMar>
          </w:tcPr>
          <w:p>
            <w:pPr>
              <w:spacing w:after="0" w:before="0"/>
              <w:jc w:val="left"/>
            </w:pPr>
            <w:r>
              <w:rPr>
                <w:sz w:val="22"/>
                <w:szCs w:val="22"/>
              </w:rPr>
              <w:t xml:space="preserve">Annual</w:t>
            </w:r>
          </w:p>
        </w:tc>
        <w:tc>
          <w:tcPr>
            <w:tcW w:type="pct" w:w="25%"/>
            <w:tcMar>
              <w:top w:type="dxa" w:w="70"/>
              <w:left w:type="dxa" w:w="110"/>
              <w:bottom w:type="dxa" w:w="70"/>
              <w:right w:type="dxa" w:w="110"/>
            </w:tcMar>
          </w:tcPr>
          <w:p>
            <w:pPr>
              <w:spacing w:after="0" w:before="0"/>
              <w:jc w:val="left"/>
            </w:pPr>
            <w:r>
              <w:rPr>
                <w:sz w:val="22"/>
                <w:szCs w:val="22"/>
              </w:rPr>
              <w:t xml:space="preserve">Qualified electrician</w:t>
            </w:r>
          </w:p>
        </w:tc>
        <w:tc>
          <w:tcPr>
            <w:tcW w:type="pct" w:w="25%"/>
            <w:tcMar>
              <w:top w:type="dxa" w:w="70"/>
              <w:left w:type="dxa" w:w="110"/>
              <w:bottom w:type="dxa" w:w="70"/>
              <w:right w:type="dxa" w:w="110"/>
            </w:tcMar>
          </w:tcPr>
          <w:p>
            <w:pPr>
              <w:spacing w:after="0" w:before="0"/>
              <w:jc w:val="left"/>
            </w:pPr>
            <w:r>
              <w:rPr>
                <w:sz w:val="22"/>
                <w:szCs w:val="22"/>
              </w:rPr>
              <w:t xml:space="preserve">✓</w:t>
            </w:r>
          </w:p>
        </w:tc>
      </w:tr>
      <w:tr>
        <w:tc>
          <w:tcPr>
            <w:tcW w:type="pct" w:w="25%"/>
            <w:shd w:fill="FAF7F2" w:color="auto" w:val="clear"/>
            <w:tcMar>
              <w:top w:type="dxa" w:w="70"/>
              <w:left w:type="dxa" w:w="110"/>
              <w:bottom w:type="dxa" w:w="70"/>
              <w:right w:type="dxa" w:w="110"/>
            </w:tcMar>
          </w:tcPr>
          <w:p>
            <w:pPr>
              <w:spacing w:after="0" w:before="0"/>
              <w:jc w:val="left"/>
            </w:pPr>
            <w:r>
              <w:rPr>
                <w:sz w:val="22"/>
                <w:szCs w:val="22"/>
              </w:rPr>
              <w:t xml:space="preserve">FDP + detector heads servicing</w:t>
            </w:r>
          </w:p>
        </w:tc>
        <w:tc>
          <w:tcPr>
            <w:tcW w:type="pct" w:w="25%"/>
            <w:shd w:fill="FAF7F2" w:color="auto" w:val="clear"/>
            <w:tcMar>
              <w:top w:type="dxa" w:w="70"/>
              <w:left w:type="dxa" w:w="110"/>
              <w:bottom w:type="dxa" w:w="70"/>
              <w:right w:type="dxa" w:w="110"/>
            </w:tcMar>
          </w:tcPr>
          <w:p>
            <w:pPr>
              <w:spacing w:after="0" w:before="0"/>
              <w:jc w:val="left"/>
            </w:pPr>
            <w:r>
              <w:rPr>
                <w:sz w:val="22"/>
                <w:szCs w:val="22"/>
              </w:rPr>
              <w:t xml:space="preserve">Annual</w:t>
            </w:r>
          </w:p>
        </w:tc>
        <w:tc>
          <w:tcPr>
            <w:tcW w:type="pct" w:w="25%"/>
            <w:shd w:fill="FAF7F2" w:color="auto" w:val="clear"/>
            <w:tcMar>
              <w:top w:type="dxa" w:w="70"/>
              <w:left w:type="dxa" w:w="110"/>
              <w:bottom w:type="dxa" w:w="70"/>
              <w:right w:type="dxa" w:w="110"/>
            </w:tcMar>
          </w:tcPr>
          <w:p>
            <w:pPr>
              <w:spacing w:after="0" w:before="0"/>
              <w:jc w:val="left"/>
            </w:pPr>
            <w:r>
              <w:rPr>
                <w:sz w:val="22"/>
                <w:szCs w:val="22"/>
              </w:rPr>
              <w:t xml:space="preserve">Approved maintainer</w:t>
            </w:r>
          </w:p>
        </w:tc>
        <w:tc>
          <w:tcPr>
            <w:tcW w:type="pct" w:w="25%"/>
            <w:shd w:fill="FAF7F2" w:color="auto" w:val="clear"/>
            <w:tcMar>
              <w:top w:type="dxa" w:w="70"/>
              <w:left w:type="dxa" w:w="110"/>
              <w:bottom w:type="dxa" w:w="70"/>
              <w:right w:type="dxa" w:w="110"/>
            </w:tcMar>
          </w:tcPr>
          <w:p>
            <w:pPr>
              <w:spacing w:after="0" w:before="0"/>
              <w:jc w:val="left"/>
            </w:pPr>
            <w:r>
              <w:rPr>
                <w:sz w:val="22"/>
                <w:szCs w:val="22"/>
              </w:rPr>
              <w:t xml:space="preserve">✓</w:t>
            </w:r>
          </w:p>
        </w:tc>
      </w:tr>
      <w:tr>
        <w:tc>
          <w:tcPr>
            <w:tcW w:type="pct" w:w="25%"/>
            <w:tcMar>
              <w:top w:type="dxa" w:w="70"/>
              <w:left w:type="dxa" w:w="110"/>
              <w:bottom w:type="dxa" w:w="70"/>
              <w:right w:type="dxa" w:w="110"/>
            </w:tcMar>
          </w:tcPr>
          <w:p>
            <w:pPr>
              <w:spacing w:after="0" w:before="0"/>
              <w:jc w:val="left"/>
            </w:pPr>
            <w:r>
              <w:rPr>
                <w:sz w:val="22"/>
                <w:szCs w:val="22"/>
              </w:rPr>
              <w:t xml:space="preserve">Smoke vent (NSHEV) servicing</w:t>
            </w:r>
          </w:p>
        </w:tc>
        <w:tc>
          <w:tcPr>
            <w:tcW w:type="pct" w:w="25%"/>
            <w:tcMar>
              <w:top w:type="dxa" w:w="70"/>
              <w:left w:type="dxa" w:w="110"/>
              <w:bottom w:type="dxa" w:w="70"/>
              <w:right w:type="dxa" w:w="110"/>
            </w:tcMar>
          </w:tcPr>
          <w:p>
            <w:pPr>
              <w:spacing w:after="0" w:before="0"/>
              <w:jc w:val="left"/>
            </w:pPr>
            <w:r>
              <w:rPr>
                <w:sz w:val="22"/>
                <w:szCs w:val="22"/>
              </w:rPr>
              <w:t xml:space="preserve">Annual</w:t>
            </w:r>
          </w:p>
        </w:tc>
        <w:tc>
          <w:tcPr>
            <w:tcW w:type="pct" w:w="25%"/>
            <w:tcMar>
              <w:top w:type="dxa" w:w="70"/>
              <w:left w:type="dxa" w:w="110"/>
              <w:bottom w:type="dxa" w:w="70"/>
              <w:right w:type="dxa" w:w="110"/>
            </w:tcMar>
          </w:tcPr>
          <w:p>
            <w:pPr>
              <w:spacing w:after="0" w:before="0"/>
              <w:jc w:val="left"/>
            </w:pPr>
            <w:r>
              <w:rPr>
                <w:sz w:val="22"/>
                <w:szCs w:val="22"/>
              </w:rPr>
              <w:t xml:space="preserve">Approved maintainer</w:t>
            </w:r>
          </w:p>
        </w:tc>
        <w:tc>
          <w:tcPr>
            <w:tcW w:type="pct" w:w="25%"/>
            <w:tcMar>
              <w:top w:type="dxa" w:w="70"/>
              <w:left w:type="dxa" w:w="110"/>
              <w:bottom w:type="dxa" w:w="70"/>
              <w:right w:type="dxa" w:w="110"/>
            </w:tcMar>
          </w:tcPr>
          <w:p>
            <w:pPr>
              <w:spacing w:after="0" w:before="0"/>
              <w:jc w:val="left"/>
            </w:pPr>
            <w:r>
              <w:rPr>
                <w:sz w:val="22"/>
                <w:szCs w:val="22"/>
              </w:rPr>
              <w:t xml:space="preserve">✓</w:t>
            </w:r>
          </w:p>
        </w:tc>
      </w:tr>
      <w:tr>
        <w:tc>
          <w:tcPr>
            <w:tcW w:type="pct" w:w="25%"/>
            <w:shd w:fill="FAF7F2" w:color="auto" w:val="clear"/>
            <w:tcMar>
              <w:top w:type="dxa" w:w="70"/>
              <w:left w:type="dxa" w:w="110"/>
              <w:bottom w:type="dxa" w:w="70"/>
              <w:right w:type="dxa" w:w="110"/>
            </w:tcMar>
          </w:tcPr>
          <w:p>
            <w:pPr>
              <w:spacing w:after="0" w:before="0"/>
              <w:jc w:val="left"/>
            </w:pPr>
            <w:r>
              <w:rPr>
                <w:sz w:val="22"/>
                <w:szCs w:val="22"/>
              </w:rPr>
              <w:t xml:space="preserve">FHR complete inspection (NF EN 671)</w:t>
            </w:r>
          </w:p>
        </w:tc>
        <w:tc>
          <w:tcPr>
            <w:tcW w:type="pct" w:w="25%"/>
            <w:shd w:fill="FAF7F2" w:color="auto" w:val="clear"/>
            <w:tcMar>
              <w:top w:type="dxa" w:w="70"/>
              <w:left w:type="dxa" w:w="110"/>
              <w:bottom w:type="dxa" w:w="70"/>
              <w:right w:type="dxa" w:w="110"/>
            </w:tcMar>
          </w:tcPr>
          <w:p>
            <w:pPr>
              <w:spacing w:after="0" w:before="0"/>
              <w:jc w:val="left"/>
            </w:pPr>
            <w:r>
              <w:rPr>
                <w:sz w:val="22"/>
                <w:szCs w:val="22"/>
              </w:rPr>
              <w:t xml:space="preserve">Annual</w:t>
            </w:r>
          </w:p>
        </w:tc>
        <w:tc>
          <w:tcPr>
            <w:tcW w:type="pct" w:w="25%"/>
            <w:shd w:fill="FAF7F2" w:color="auto" w:val="clear"/>
            <w:tcMar>
              <w:top w:type="dxa" w:w="70"/>
              <w:left w:type="dxa" w:w="110"/>
              <w:bottom w:type="dxa" w:w="70"/>
              <w:right w:type="dxa" w:w="110"/>
            </w:tcMar>
          </w:tcPr>
          <w:p>
            <w:pPr>
              <w:spacing w:after="0" w:before="0"/>
              <w:jc w:val="left"/>
            </w:pPr>
            <w:r>
              <w:rPr>
                <w:sz w:val="22"/>
                <w:szCs w:val="22"/>
              </w:rPr>
              <w:t xml:space="preserve">Approved maintainer</w:t>
            </w:r>
          </w:p>
        </w:tc>
        <w:tc>
          <w:tcPr>
            <w:tcW w:type="pct" w:w="25%"/>
            <w:shd w:fill="FAF7F2" w:color="auto" w:val="clear"/>
            <w:tcMar>
              <w:top w:type="dxa" w:w="70"/>
              <w:left w:type="dxa" w:w="110"/>
              <w:bottom w:type="dxa" w:w="70"/>
              <w:right w:type="dxa" w:w="110"/>
            </w:tcMar>
          </w:tcPr>
          <w:p>
            <w:pPr>
              <w:spacing w:after="0" w:before="0"/>
              <w:jc w:val="left"/>
            </w:pPr>
            <w:r>
              <w:rPr>
                <w:sz w:val="22"/>
                <w:szCs w:val="22"/>
              </w:rPr>
              <w:t xml:space="preserve">✓</w:t>
            </w:r>
          </w:p>
        </w:tc>
      </w:tr>
      <w:tr>
        <w:tc>
          <w:tcPr>
            <w:tcW w:type="pct" w:w="25%"/>
            <w:tcMar>
              <w:top w:type="dxa" w:w="70"/>
              <w:left w:type="dxa" w:w="110"/>
              <w:bottom w:type="dxa" w:w="70"/>
              <w:right w:type="dxa" w:w="110"/>
            </w:tcMar>
          </w:tcPr>
          <w:p>
            <w:pPr>
              <w:spacing w:after="0" w:before="0"/>
              <w:jc w:val="left"/>
            </w:pPr>
            <w:r>
              <w:rPr>
                <w:sz w:val="22"/>
                <w:szCs w:val="22"/>
              </w:rPr>
              <w:t xml:space="preserve">Third-party inspection (Apave / Veritas)</w:t>
            </w:r>
          </w:p>
        </w:tc>
        <w:tc>
          <w:tcPr>
            <w:tcW w:type="pct" w:w="25%"/>
            <w:tcMar>
              <w:top w:type="dxa" w:w="70"/>
              <w:left w:type="dxa" w:w="110"/>
              <w:bottom w:type="dxa" w:w="70"/>
              <w:right w:type="dxa" w:w="110"/>
            </w:tcMar>
          </w:tcPr>
          <w:p>
            <w:pPr>
              <w:spacing w:after="0" w:before="0"/>
              <w:jc w:val="left"/>
            </w:pPr>
            <w:r>
              <w:rPr>
                <w:sz w:val="22"/>
                <w:szCs w:val="22"/>
              </w:rPr>
              <w:t xml:space="preserve">Every 5 years</w:t>
            </w:r>
          </w:p>
        </w:tc>
        <w:tc>
          <w:tcPr>
            <w:tcW w:type="pct" w:w="25%"/>
            <w:tcMar>
              <w:top w:type="dxa" w:w="70"/>
              <w:left w:type="dxa" w:w="110"/>
              <w:bottom w:type="dxa" w:w="70"/>
              <w:right w:type="dxa" w:w="110"/>
            </w:tcMar>
          </w:tcPr>
          <w:p>
            <w:pPr>
              <w:spacing w:after="0" w:before="0"/>
              <w:jc w:val="left"/>
            </w:pPr>
            <w:r>
              <w:rPr>
                <w:sz w:val="22"/>
                <w:szCs w:val="22"/>
              </w:rPr>
              <w:t xml:space="preserve">Approved inspection body</w:t>
            </w:r>
          </w:p>
        </w:tc>
        <w:tc>
          <w:tcPr>
            <w:tcW w:type="pct" w:w="25%"/>
            <w:tcMar>
              <w:top w:type="dxa" w:w="70"/>
              <w:left w:type="dxa" w:w="110"/>
              <w:bottom w:type="dxa" w:w="70"/>
              <w:right w:type="dxa" w:w="110"/>
            </w:tcMar>
          </w:tcPr>
          <w:p>
            <w:pPr>
              <w:spacing w:after="0" w:before="0"/>
              <w:jc w:val="left"/>
            </w:pPr>
            <w:r>
              <w:rPr>
                <w:sz w:val="22"/>
                <w:szCs w:val="22"/>
              </w:rPr>
              <w:t xml:space="preserve">✓</w:t>
            </w:r>
          </w:p>
        </w:tc>
      </w:tr>
    </w:tbl>
    <w:p/>
    <w:p/>
    <w:p>
      <w:pPr>
        <w:pBdr>
          <w:bottom w:val="single" w:color="E5E1D8" w:sz="6" w:space="1"/>
        </w:pBdr>
        <w:spacing w:after="120" w:before="120"/>
      </w:pPr>
      <w:r>
        <w:t xml:space="preserve"/>
      </w:r>
    </w:p>
    <w:p/>
    <w:p>
      <w:pPr>
        <w:pStyle w:val="Heading3"/>
      </w:pPr>
      <w:bookmarkStart w:name="nexia_h_338" w:id="1"/>
      <w:r>
        <w:rPr>
          <w:b/>
          <w:bCs/>
        </w:rPr>
        <w:t xml:space="preserve">1.11.1.  </w:t>
      </w:r>
      <w:r>
        <w:t xml:space="preserve">DIAGRAM 5 — FULL SITE EVACUATION PLAN — AERIAL VIEW</w:t>
      </w:r>
      <w:bookmarkEnd w:id="1"/>
    </w:p>
    <w:p/>
    <w:p>
      <w:pPr>
        <w:spacing w:after="120" w:line="320"/>
        <w:jc w:val="both"/>
      </w:pPr>
      <w:r>
        <w:t xml:space="preserve">The site plan below shows the complete Ngoundiane workshop site in aerial view, with all buildings, evacuation routes, emergency exits, firefighting equipment and the assembly point. All symbols comply with ISO 7010:2019/Amd 8:2024.</w:t>
      </w:r>
    </w:p>
    <w:p/>
    <w:p>
      <w:pPr>
        <w:spacing w:after="80" w:before="120"/>
        <w:jc w:val="center"/>
      </w:pPr>
      <w:r>
        <w:drawing>
          <wp:inline distT="0" distB="0" distL="0" distR="0">
            <wp:extent cx="4572000" cy="3048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 cstate="none"/>
                    <a:srcRect/>
                    <a:stretch>
                      <a:fillRect/>
                    </a:stretch>
                  </pic:blipFill>
                  <pic:spPr bwMode="auto">
                    <a:xfrm>
                      <a:off x="0" y="0"/>
                      <a:ext cx="4572000" cy="3048000"/>
                    </a:xfrm>
                    <a:prstGeom prst="rect">
                      <a:avLst/>
                    </a:prstGeom>
                  </pic:spPr>
                </pic:pic>
              </a:graphicData>
            </a:graphic>
          </wp:inline>
        </w:drawing>
      </w:r>
    </w:p>
    <w:p>
      <w:pPr>
        <w:spacing w:after="200"/>
        <w:jc w:val="center"/>
      </w:pPr>
      <w:r>
        <w:rPr>
          <w:i/>
          <w:iCs/>
          <w:color w:val="555555"/>
          <w:sz w:val="20"/>
          <w:szCs w:val="20"/>
        </w:rPr>
        <w:t xml:space="preserve">FULL SITE EVACUATION PLAN — AERIAL VIEW — NGOUNDIANE PREMIUM DOOR WORKSHOP</w:t>
      </w:r>
    </w:p>
    <w:p/>
    <w:p>
      <w:pPr>
        <w:spacing w:after="120" w:line="320"/>
        <w:jc w:val="both"/>
      </w:pPr>
      <w:r>
        <w:rPr>
          <w:b/>
          <w:bCs/>
        </w:rPr>
        <w:t xml:space="preserve">Reading key:</w:t>
      </w:r>
      <w:r>
        <w:t xml:space="preserve"> Green arrows and lines indicate evacuation routes from all zones toward the two main exits (north workshop exit and south workshop exit). The assembly point (★) is located in the north car park. Red circles mark fire extinguisher positions; red squares mark fire hose reels (FHR) and Manual Call Points (MCP). The HTA substation (north-east corner) has its own independent emergency exit opening directly to the exterior.</w:t>
      </w:r>
    </w:p>
    <w:p/>
    <w:p>
      <w:pPr>
        <w:pBdr>
          <w:bottom w:val="single" w:color="E5E1D8" w:sz="6" w:space="1"/>
        </w:pBdr>
        <w:spacing w:after="120" w:before="120"/>
      </w:pPr>
      <w:r>
        <w:t xml:space="preserve"/>
      </w:r>
    </w:p>
    <w:p/>
    <w:p>
      <w:pPr>
        <w:pStyle w:val="Heading2"/>
      </w:pPr>
      <w:bookmarkStart w:name="nexia_h_348" w:id="1"/>
      <w:r>
        <w:rPr>
          <w:b/>
          <w:bCs/>
        </w:rPr>
        <w:t xml:space="preserve">1.12.  </w:t>
      </w:r>
      <w:r>
        <w:t xml:space="preserve">Conclusion and Commitments</w:t>
      </w:r>
      <w:bookmarkEnd w:id="1"/>
    </w:p>
    <w:p/>
    <w:p>
      <w:pPr>
        <w:spacing w:after="120" w:line="320"/>
        <w:jc w:val="both"/>
      </w:pPr>
      <w:r>
        <w:t xml:space="preserve">This Fire Safety Notice covers the full range of regulatory and technical provisions applicable to the premium door manufacturing workshop at Ngoundiane (Thiès Region, Senegal), in compliance with Decree No. 2010-99, the Labour Code, Interministerial Order No. 5945 of 14 May 1969, and the international standards NF EN 54 series, NF EN 12101-2 and ISO 7010:2019/Amd 8:2024.</w:t>
      </w:r>
    </w:p>
    <w:p/>
    <w:p>
      <w:pPr>
        <w:spacing w:after="120" w:line="320"/>
        <w:jc w:val="both"/>
      </w:pPr>
      <w:r>
        <w:rPr>
          <w:b/>
          <w:bCs/>
        </w:rPr>
        <w:t xml:space="preserve">Priority actions required before commissioning — Critical risks R01, R02, R03:</w:t>
      </w:r>
    </w:p>
    <w:p/>
    <w:p>
      <w:pPr>
        <w:spacing w:after="60" w:line="300"/>
        <w:ind w:left="360" w:hanging="360"/>
      </w:pPr>
      <w:r>
        <w:rPr>
          <w:b/>
          <w:bCs/>
        </w:rPr>
        <w:t xml:space="preserve">1.  </w:t>
      </w:r>
      <w:r>
        <w:rPr>
          <w:b/>
          <w:bCs/>
        </w:rPr>
        <w:t xml:space="preserve">Centralised industrial dust extraction system</w:t>
      </w:r>
      <w:r>
        <w:t xml:space="preserve"> — workshop zone ATEX St1 — eliminates explosion risk from suspended wood dust cloud</w:t>
      </w:r>
    </w:p>
    <w:p>
      <w:pPr>
        <w:spacing w:after="60" w:line="300"/>
        <w:ind w:left="360" w:hanging="360"/>
      </w:pPr>
      <w:r>
        <w:rPr>
          <w:b/>
          <w:bCs/>
        </w:rPr>
        <w:t xml:space="preserve">2.  </w:t>
      </w:r>
      <w:r>
        <w:rPr>
          <w:b/>
          <w:bCs/>
        </w:rPr>
        <w:t xml:space="preserve">Enclosed spray and varnishing booth REI 60</w:t>
      </w:r>
      <w:r>
        <w:t xml:space="preserve"> — dedicated mechanical exhaust ventilation — eliminates uncontrolled solvent vapour accumulation</w:t>
      </w:r>
    </w:p>
    <w:p>
      <w:pPr>
        <w:spacing w:after="60" w:line="300"/>
        <w:ind w:left="360" w:hanging="360"/>
      </w:pPr>
      <w:r>
        <w:rPr>
          <w:b/>
          <w:bCs/>
        </w:rPr>
        <w:t xml:space="preserve">3.  </w:t>
      </w:r>
      <w:r>
        <w:rPr>
          <w:b/>
          <w:bCs/>
        </w:rPr>
        <w:t xml:space="preserve">On-site fire water reserve — 120 m³</w:t>
      </w:r>
      <w:r>
        <w:t xml:space="preserve"> — underground tank with DN 100 fire brigade suction point — compensates for uncertain mains pressure at Ngoundiane</w:t>
      </w:r>
    </w:p>
    <w:p>
      <w:pPr>
        <w:spacing w:after="60" w:line="300"/>
        <w:ind w:left="360" w:hanging="360"/>
      </w:pPr>
      <w:r>
        <w:rPr>
          <w:b/>
          <w:bCs/>
        </w:rPr>
        <w:t xml:space="preserve">4.  </w:t>
      </w:r>
      <w:r>
        <w:rPr>
          <w:b/>
          <w:bCs/>
        </w:rPr>
        <w:t xml:space="preserve">Category A addressable FSS</w:t>
      </w:r>
      <w:r>
        <w:t xml:space="preserve"> — Fire Detection Panel with 30 detectors + 5 MCPs + GPRS remote monitoring to licensed monitoring centre 24h/7</w:t>
      </w:r>
    </w:p>
    <w:p/>
    <w:p>
      <w:pPr>
        <w:spacing w:after="120" w:line="320"/>
        <w:jc w:val="both"/>
      </w:pPr>
      <w:r>
        <w:rPr>
          <w:b/>
          <w:bCs/>
        </w:rPr>
        <w:t xml:space="preserve">This notice must be validated by a qualified fire safety engineer approved by the Senegalese Ministry of the Interior before any commissioning. Plans and diagrams are indicative and must be confirmed by a site survey.</w:t>
      </w:r>
    </w:p>
    <w:p/>
    <w:p>
      <w:pPr>
        <w:pBdr>
          <w:bottom w:val="single" w:color="E5E1D8" w:sz="6" w:space="1"/>
        </w:pBdr>
        <w:spacing w:after="120" w:before="120"/>
      </w:pPr>
      <w:r>
        <w:t xml:space="preserve"/>
      </w:r>
    </w:p>
    <w:p/>
    <w:p>
      <w:pPr>
        <w:spacing w:after="120" w:line="320"/>
        <w:jc w:val="both"/>
      </w:pPr>
      <w:r>
        <w:rPr>
          <w:i/>
          <w:iCs/>
        </w:rPr>
        <w:t xml:space="preserve">Issued at Ngoundiane (Thiès), on: ___________________________</w:t>
      </w:r>
    </w:p>
    <w:p/>
    <w:p>
      <w:pPr>
        <w:spacing w:after="120" w:line="320"/>
        <w:jc w:val="both"/>
      </w:pPr>
      <w:r>
        <w:rPr>
          <w:i/>
          <w:iCs/>
        </w:rPr>
        <w:t xml:space="preserve">Name and signature of establishment manager: ___________________________</w:t>
      </w:r>
    </w:p>
    <w:p/>
    <w:p>
      <w:pPr>
        <w:spacing w:after="120" w:line="320"/>
        <w:jc w:val="both"/>
      </w:pPr>
      <w:r>
        <w:rPr>
          <w:i/>
          <w:iCs/>
        </w:rPr>
        <w:t xml:space="preserve">Establishment stamp: ___________________________</w:t>
      </w:r>
    </w:p>
    <w:p/>
    <w:p>
      <w:pPr>
        <w:spacing w:after="120" w:line="320"/>
        <w:jc w:val="both"/>
      </w:pPr>
      <w:r>
        <w:rPr>
          <w:i/>
          <w:iCs/>
        </w:rPr>
        <w:t xml:space="preserve">Name and signature of validating fire safety engineer: ___________________________</w:t>
      </w:r>
    </w:p>
    <w:p/>
    <w:p>
      <w:pPr>
        <w:spacing w:after="120" w:line="320"/>
        <w:jc w:val="both"/>
      </w:pPr>
      <w:r>
        <w:rPr>
          <w:i/>
          <w:iCs/>
        </w:rPr>
        <w:t xml:space="preserve">Engineer approval number: ___________________________</w:t>
      </w:r>
    </w:p>
    <w:p/>
    <w:p>
      <w:pPr>
        <w:pBdr>
          <w:bottom w:val="single" w:color="E5E1D8" w:sz="6" w:space="1"/>
        </w:pBdr>
        <w:spacing w:after="120" w:before="120"/>
      </w:pPr>
      <w:r>
        <w:t xml:space="preserve"/>
      </w:r>
    </w:p>
    <w:p/>
    <w:p>
      <w:pPr>
        <w:pStyle w:val="Heading2"/>
      </w:pPr>
      <w:bookmarkStart w:name="nexia_h_375" w:id="1"/>
      <w:r>
        <w:rPr>
          <w:b/>
          <w:bCs/>
        </w:rPr>
        <w:t xml:space="preserve">1.13.  </w:t>
      </w:r>
      <w:r>
        <w:t xml:space="preserve">Bibliography</w:t>
      </w:r>
      <w:bookmarkEnd w:id="1"/>
    </w:p>
    <w:p/>
    <w:p>
      <w:pPr>
        <w:spacing w:after="60" w:line="300"/>
        <w:ind w:left="360" w:hanging="360"/>
      </w:pPr>
      <w:r>
        <w:rPr>
          <w:b/>
          <w:bCs/>
        </w:rPr>
        <w:t xml:space="preserve">1.  </w:t>
      </w:r>
      <w:r>
        <w:rPr>
          <w:b/>
          <w:bCs/>
        </w:rPr>
        <w:t xml:space="preserve">Decree No. 2010-99 of 27 January 2010</w:t>
      </w:r>
      <w:r>
        <w:t xml:space="preserve">, Regulatory Part of the Construction Code, Republic of Senegal.</w:t>
      </w:r>
    </w:p>
    <w:p>
      <w:pPr>
        <w:spacing w:after="60" w:line="300"/>
        <w:ind w:left="360" w:hanging="360"/>
      </w:pPr>
      <w:r>
        <w:rPr>
          <w:b/>
          <w:bCs/>
        </w:rPr>
        <w:t xml:space="preserve">2.  </w:t>
      </w:r>
      <w:r>
        <w:rPr>
          <w:b/>
          <w:bCs/>
        </w:rPr>
        <w:t xml:space="preserve">Decree No. 2009-1450 of 30 December 2009</w:t>
      </w:r>
      <w:r>
        <w:t xml:space="preserve">, Regulatory Part of the Urban Planning Code, Republic of Senegal.</w:t>
      </w:r>
    </w:p>
    <w:p>
      <w:pPr>
        <w:spacing w:after="60" w:line="300"/>
        <w:ind w:left="360" w:hanging="360"/>
      </w:pPr>
      <w:r>
        <w:rPr>
          <w:b/>
          <w:bCs/>
        </w:rPr>
        <w:t xml:space="preserve">3.  </w:t>
      </w:r>
      <w:r>
        <w:rPr>
          <w:b/>
          <w:bCs/>
        </w:rPr>
        <w:t xml:space="preserve">Interministerial Order No. 5945 of 14 May 1969</w:t>
      </w:r>
      <w:r>
        <w:t xml:space="preserve">, Fire and Panic Safety in Public Establishments (ERP), Republic of Senegal.</w:t>
      </w:r>
    </w:p>
    <w:p>
      <w:pPr>
        <w:spacing w:after="60" w:line="300"/>
        <w:ind w:left="360" w:hanging="360"/>
      </w:pPr>
      <w:r>
        <w:rPr>
          <w:b/>
          <w:bCs/>
        </w:rPr>
        <w:t xml:space="preserve">4.  </w:t>
      </w:r>
      <w:r>
        <w:rPr>
          <w:b/>
          <w:bCs/>
        </w:rPr>
        <w:t xml:space="preserve">Labour Code — Articles L.182 et seq.</w:t>
      </w:r>
      <w:r>
        <w:t xml:space="preserve">, Occupational Hygiene and Safety, Republic of Senegal.</w:t>
      </w:r>
    </w:p>
    <w:p>
      <w:pPr>
        <w:spacing w:after="60" w:line="300"/>
        <w:ind w:left="360" w:hanging="360"/>
      </w:pPr>
      <w:r>
        <w:rPr>
          <w:b/>
          <w:bCs/>
        </w:rPr>
        <w:t xml:space="preserve">5.  </w:t>
      </w:r>
      <w:r>
        <w:rPr>
          <w:b/>
          <w:bCs/>
        </w:rPr>
        <w:t xml:space="preserve">ISO 7010:2019/Amd 8:2024</w:t>
      </w:r>
      <w:r>
        <w:t xml:space="preserve">, </w:t>
      </w:r>
      <w:r>
        <w:rPr>
          <w:i/>
          <w:iCs/>
        </w:rPr>
        <w:t xml:space="preserve">Graphical symbols — Safety colours and registered safety signs</w:t>
      </w:r>
      <w:r>
        <w:t xml:space="preserve">, International Organization for Standardization (ISO). Latest amendment: May 2024.</w:t>
      </w:r>
    </w:p>
    <w:p>
      <w:pPr>
        <w:spacing w:after="60" w:line="300"/>
        <w:ind w:left="360" w:hanging="360"/>
      </w:pPr>
      <w:r>
        <w:rPr>
          <w:b/>
          <w:bCs/>
        </w:rPr>
        <w:t xml:space="preserve">6.  </w:t>
      </w:r>
      <w:r>
        <w:rPr>
          <w:b/>
          <w:bCs/>
        </w:rPr>
        <w:t xml:space="preserve">ISO 45001:2018</w:t>
      </w:r>
      <w:r>
        <w:t xml:space="preserve">, </w:t>
      </w:r>
      <w:r>
        <w:rPr>
          <w:i/>
          <w:iCs/>
        </w:rPr>
        <w:t xml:space="preserve">Occupational health and safety management systems — Requirements with guidance for use</w:t>
      </w:r>
      <w:r>
        <w:t xml:space="preserve">, ISO.</w:t>
      </w:r>
    </w:p>
    <w:p>
      <w:pPr>
        <w:spacing w:after="60" w:line="300"/>
        <w:ind w:left="360" w:hanging="360"/>
      </w:pPr>
      <w:r>
        <w:rPr>
          <w:b/>
          <w:bCs/>
        </w:rPr>
        <w:t xml:space="preserve">7.  </w:t>
      </w:r>
      <w:r>
        <w:rPr>
          <w:b/>
          <w:bCs/>
        </w:rPr>
        <w:t xml:space="preserve">NF X 08-070</w:t>
      </w:r>
      <w:r>
        <w:t xml:space="preserve">, </w:t>
      </w:r>
      <w:r>
        <w:rPr>
          <w:i/>
          <w:iCs/>
        </w:rPr>
        <w:t xml:space="preserve">Plans de sécurité incendie — Conception et implantation</w:t>
      </w:r>
      <w:r>
        <w:t xml:space="preserve">, AFNOR.</w:t>
      </w:r>
    </w:p>
    <w:p>
      <w:pPr>
        <w:spacing w:after="60" w:line="300"/>
        <w:ind w:left="360" w:hanging="360"/>
      </w:pPr>
      <w:r>
        <w:rPr>
          <w:b/>
          <w:bCs/>
        </w:rPr>
        <w:t xml:space="preserve">8.  </w:t>
      </w:r>
      <w:r>
        <w:rPr>
          <w:b/>
          <w:bCs/>
        </w:rPr>
        <w:t xml:space="preserve">NF EN 54</w:t>
      </w:r>
      <w:r>
        <w:t xml:space="preserve"> (series, multiple parts), </w:t>
      </w:r>
      <w:r>
        <w:rPr>
          <w:i/>
          <w:iCs/>
        </w:rPr>
        <w:t xml:space="preserve">Fire detection and fire alarm systems</w:t>
      </w:r>
      <w:r>
        <w:t xml:space="preserve">, AFNOR / CEN.</w:t>
      </w:r>
    </w:p>
    <w:p>
      <w:pPr>
        <w:spacing w:after="60" w:line="300"/>
        <w:ind w:left="360" w:hanging="360"/>
      </w:pPr>
      <w:r>
        <w:rPr>
          <w:b/>
          <w:bCs/>
        </w:rPr>
        <w:t xml:space="preserve">9.  </w:t>
      </w:r>
      <w:r>
        <w:rPr>
          <w:b/>
          <w:bCs/>
        </w:rPr>
        <w:t xml:space="preserve">NF S 61-919</w:t>
      </w:r>
      <w:r>
        <w:t xml:space="preserve">, </w:t>
      </w:r>
      <w:r>
        <w:rPr>
          <w:i/>
          <w:iCs/>
        </w:rPr>
        <w:t xml:space="preserve">Systèmes de détection incendie — Règles d'installation et de mise en service</w:t>
      </w:r>
      <w:r>
        <w:t xml:space="preserve">, AFNOR.</w:t>
      </w:r>
    </w:p>
    <w:p>
      <w:pPr>
        <w:spacing w:after="60" w:line="300"/>
        <w:ind w:left="360" w:hanging="360"/>
      </w:pPr>
      <w:r>
        <w:rPr>
          <w:b/>
          <w:bCs/>
        </w:rPr>
        <w:t xml:space="preserve">10.  </w:t>
      </w:r>
      <w:r>
        <w:rPr>
          <w:b/>
          <w:bCs/>
        </w:rPr>
        <w:t xml:space="preserve">NF S 61-937</w:t>
      </w:r>
      <w:r>
        <w:t xml:space="preserve">, </w:t>
      </w:r>
      <w:r>
        <w:rPr>
          <w:i/>
          <w:iCs/>
        </w:rPr>
        <w:t xml:space="preserve">Systèmes de mise en sécurité incendie (SMSI) — Règles d'installation</w:t>
      </w:r>
      <w:r>
        <w:t xml:space="preserve">, AFNOR.</w:t>
      </w:r>
    </w:p>
    <w:p>
      <w:pPr>
        <w:spacing w:after="60" w:line="300"/>
        <w:ind w:left="360" w:hanging="360"/>
      </w:pPr>
      <w:r>
        <w:rPr>
          <w:b/>
          <w:bCs/>
        </w:rPr>
        <w:t xml:space="preserve">11.  </w:t>
      </w:r>
      <w:r>
        <w:rPr>
          <w:b/>
          <w:bCs/>
        </w:rPr>
        <w:t xml:space="preserve">NF EN 12101-2</w:t>
      </w:r>
      <w:r>
        <w:t xml:space="preserve">, </w:t>
      </w:r>
      <w:r>
        <w:rPr>
          <w:i/>
          <w:iCs/>
        </w:rPr>
        <w:t xml:space="preserve">Smoke and heat control systems — Natural smoke and heat exhaust ventilators</w:t>
      </w:r>
      <w:r>
        <w:t xml:space="preserve">, AFNOR / CEN.</w:t>
      </w:r>
    </w:p>
    <w:p>
      <w:pPr>
        <w:spacing w:after="60" w:line="300"/>
        <w:ind w:left="360" w:hanging="360"/>
      </w:pPr>
      <w:r>
        <w:rPr>
          <w:b/>
          <w:bCs/>
        </w:rPr>
        <w:t xml:space="preserve">12.  </w:t>
      </w:r>
      <w:r>
        <w:rPr>
          <w:b/>
          <w:bCs/>
        </w:rPr>
        <w:t xml:space="preserve">NF EN 671-1 and 671-2</w:t>
      </w:r>
      <w:r>
        <w:t xml:space="preserve">, </w:t>
      </w:r>
      <w:r>
        <w:rPr>
          <w:i/>
          <w:iCs/>
        </w:rPr>
        <w:t xml:space="preserve">Fixed firefighting systems — Hose systems with semi-rigid hose reels</w:t>
      </w:r>
      <w:r>
        <w:t xml:space="preserve">, AFNOR / CEN.</w:t>
      </w:r>
    </w:p>
    <w:p>
      <w:pPr>
        <w:spacing w:after="60" w:line="300"/>
        <w:ind w:left="360" w:hanging="360"/>
      </w:pPr>
      <w:r>
        <w:rPr>
          <w:b/>
          <w:bCs/>
        </w:rPr>
        <w:t xml:space="preserve">13.  </w:t>
      </w:r>
      <w:r>
        <w:rPr>
          <w:b/>
          <w:bCs/>
        </w:rPr>
        <w:t xml:space="preserve">NF EN 3-7</w:t>
      </w:r>
      <w:r>
        <w:t xml:space="preserve">, </w:t>
      </w:r>
      <w:r>
        <w:rPr>
          <w:i/>
          <w:iCs/>
        </w:rPr>
        <w:t xml:space="preserve">Portable fire extinguishers — Characteristics, performance requirements and test methods</w:t>
      </w:r>
      <w:r>
        <w:t xml:space="preserve">, AFNOR / CEN.</w:t>
      </w:r>
    </w:p>
    <w:p>
      <w:pPr>
        <w:spacing w:after="60" w:line="300"/>
        <w:ind w:left="360" w:hanging="360"/>
      </w:pPr>
      <w:r>
        <w:rPr>
          <w:b/>
          <w:bCs/>
        </w:rPr>
        <w:t xml:space="preserve">14.  </w:t>
      </w:r>
      <w:r>
        <w:rPr>
          <w:b/>
          <w:bCs/>
        </w:rPr>
        <w:t xml:space="preserve">NF EN 1838</w:t>
      </w:r>
      <w:r>
        <w:t xml:space="preserve">, </w:t>
      </w:r>
      <w:r>
        <w:rPr>
          <w:i/>
          <w:iCs/>
        </w:rPr>
        <w:t xml:space="preserve">Lighting applications — Emergency lighting</w:t>
      </w:r>
      <w:r>
        <w:t xml:space="preserve">, AFNOR / CEN.</w:t>
      </w:r>
    </w:p>
    <w:p>
      <w:pPr>
        <w:spacing w:after="60" w:line="300"/>
        <w:ind w:left="360" w:hanging="360"/>
      </w:pPr>
      <w:r>
        <w:rPr>
          <w:b/>
          <w:bCs/>
        </w:rPr>
        <w:t xml:space="preserve">15.  </w:t>
      </w:r>
      <w:r>
        <w:rPr>
          <w:b/>
          <w:bCs/>
        </w:rPr>
        <w:t xml:space="preserve">INRS TJ 20</w:t>
      </w:r>
      <w:r>
        <w:t xml:space="preserve">, </w:t>
      </w:r>
      <w:r>
        <w:rPr>
          <w:i/>
          <w:iCs/>
        </w:rPr>
        <w:t xml:space="preserve">Fire prevention in the workplace</w:t>
      </w:r>
      <w:r>
        <w:t xml:space="preserve">, Institut National de Recherche et de Sécurité, Paris.</w:t>
      </w:r>
    </w:p>
    <w:p/>
    <w:p>
      <w:pPr>
        <w:pBdr>
          <w:bottom w:val="single" w:color="E5E1D8" w:sz="6" w:space="1"/>
        </w:pBdr>
        <w:spacing w:after="120" w:before="120"/>
      </w:pPr>
      <w:r>
        <w:t xml:space="preserve"/>
      </w:r>
    </w:p>
    <w:p/>
    <w:p>
      <w:pPr>
        <w:pStyle w:val="Heading2"/>
      </w:pPr>
      <w:bookmarkStart w:name="nexia_h_395" w:id="1"/>
      <w:r>
        <w:rPr>
          <w:b/>
          <w:bCs/>
        </w:rPr>
        <w:t xml:space="preserve">1.14.  </w:t>
      </w:r>
      <w:r>
        <w:t xml:space="preserve">Glossary</w:t>
      </w:r>
      <w:bookmarkEnd w:id="1"/>
    </w:p>
    <w:p/>
    <w:p>
      <w:pPr>
        <w:pStyle w:val="ListParagraph"/>
        <w:numPr>
          <w:ilvl w:val="0"/>
          <w:numId w:val="1"/>
        </w:numPr>
        <w:spacing w:line="300"/>
      </w:pPr>
      <w:r>
        <w:rPr>
          <w:b/>
          <w:bCs/>
        </w:rPr>
        <w:t xml:space="preserve">ATEX (ATmosphère EXplosive):</w:t>
      </w:r>
      <w:r>
        <w:t xml:space="preserve"> Explosive atmosphere — a mixture of air and combustible dust (wood dust, sawdust) capable of igniting and propagating a flame or explosion when ignited by a spark or heat source. Workshop zone classified ATEX St1 under DSEAR.</w:t>
      </w:r>
    </w:p>
    <w:p>
      <w:pPr>
        <w:pStyle w:val="ListParagraph"/>
        <w:numPr>
          <w:ilvl w:val="0"/>
          <w:numId w:val="1"/>
        </w:numPr>
        <w:spacing w:line="300"/>
      </w:pPr>
      <w:r>
        <w:rPr>
          <w:b/>
          <w:bCs/>
        </w:rPr>
        <w:t xml:space="preserve">BAES (Bloc Autonome d'Éclairage de Sécurité):</w:t>
      </w:r>
      <w:r>
        <w:t xml:space="preserve"> Self-Contained Emergency Lighting Unit — maintains minimum illuminance on escape routes for a minimum of 1 hour on internal battery when mains power fails. Standard: NF EN 1838.</w:t>
      </w:r>
    </w:p>
    <w:p>
      <w:pPr>
        <w:pStyle w:val="ListParagraph"/>
        <w:numPr>
          <w:ilvl w:val="0"/>
          <w:numId w:val="1"/>
        </w:numPr>
        <w:spacing w:line="300"/>
      </w:pPr>
      <w:r>
        <w:rPr>
          <w:b/>
          <w:bCs/>
        </w:rPr>
        <w:t xml:space="preserve">Category A FSS:</w:t>
      </w:r>
      <w:r>
        <w:t xml:space="preserve"> The highest level of Fire Safety System, covering all zones with automatic detection, general alarm and automatic control of all safety actuators (smoke extraction, fire doors). Mandatory when calorific load &gt; 100 MJ/m² or occupancy &gt; 50 persons.</w:t>
      </w:r>
    </w:p>
    <w:p>
      <w:pPr>
        <w:pStyle w:val="ListParagraph"/>
        <w:numPr>
          <w:ilvl w:val="0"/>
          <w:numId w:val="1"/>
        </w:numPr>
        <w:spacing w:line="300"/>
      </w:pPr>
      <w:r>
        <w:rPr>
          <w:b/>
          <w:bCs/>
        </w:rPr>
        <w:t xml:space="preserve">EI / REI:</w:t>
      </w:r>
      <w:r>
        <w:t xml:space="preserve"> European fire resistance classification notation — </w:t>
      </w:r>
      <w:r>
        <w:rPr>
          <w:b/>
          <w:bCs/>
        </w:rPr>
        <w:t xml:space="preserve">R</w:t>
      </w:r>
      <w:r>
        <w:t xml:space="preserve"> = load-bearing capacity, </w:t>
      </w:r>
      <w:r>
        <w:rPr>
          <w:b/>
          <w:bCs/>
        </w:rPr>
        <w:t xml:space="preserve">E</w:t>
      </w:r>
      <w:r>
        <w:t xml:space="preserve"> = integrity (no flame or hot gas passage), </w:t>
      </w:r>
      <w:r>
        <w:rPr>
          <w:b/>
          <w:bCs/>
        </w:rPr>
        <w:t xml:space="preserve">I</w:t>
      </w:r>
      <w:r>
        <w:t xml:space="preserve"> = thermal insulation. Figure = duration in minutes (e.g. REI 60 = 60 minutes full resistance).</w:t>
      </w:r>
    </w:p>
    <w:p>
      <w:pPr>
        <w:pStyle w:val="ListParagraph"/>
        <w:numPr>
          <w:ilvl w:val="0"/>
          <w:numId w:val="1"/>
        </w:numPr>
        <w:spacing w:line="300"/>
      </w:pPr>
      <w:r>
        <w:rPr>
          <w:b/>
          <w:bCs/>
        </w:rPr>
        <w:t xml:space="preserve">Euroclass:</w:t>
      </w:r>
      <w:r>
        <w:t xml:space="preserve"> European classification system for construction material reaction to fire — from A1 (non-combustible) to F (no performance determined). Suffixes s1/s2/s3 indicate smoke production; d0/d1/d2 indicate flaming droplets.</w:t>
      </w:r>
    </w:p>
    <w:p>
      <w:pPr>
        <w:pStyle w:val="ListParagraph"/>
        <w:numPr>
          <w:ilvl w:val="0"/>
          <w:numId w:val="1"/>
        </w:numPr>
        <w:spacing w:line="300"/>
      </w:pPr>
      <w:r>
        <w:rPr>
          <w:b/>
          <w:bCs/>
        </w:rPr>
        <w:t xml:space="preserve">FDP (Fire Detection Panel):</w:t>
      </w:r>
      <w:r>
        <w:t xml:space="preserve"> The central control unit of the Fire Safety System — receives alarm signals from all detectors and manual call points, displays the exact location of the alarm, activates sounders and FSMS outputs.</w:t>
      </w:r>
    </w:p>
    <w:p>
      <w:pPr>
        <w:pStyle w:val="ListParagraph"/>
        <w:numPr>
          <w:ilvl w:val="0"/>
          <w:numId w:val="1"/>
        </w:numPr>
        <w:spacing w:line="300"/>
      </w:pPr>
      <w:r>
        <w:rPr>
          <w:b/>
          <w:bCs/>
        </w:rPr>
        <w:t xml:space="preserve">FHR (Fire Hose Reel):</w:t>
      </w:r>
      <w:r>
        <w:t xml:space="preserve"> Fixed firefighting device comprising a semi-rigid hose wound on a reel, permanently connected to the water mains, usable by trained non-firefighters for initial fire attack. DN 19 = 19 mm internal diameter hose. Standard: NF EN 671-1.</w:t>
      </w:r>
    </w:p>
    <w:p>
      <w:pPr>
        <w:pStyle w:val="ListParagraph"/>
        <w:numPr>
          <w:ilvl w:val="0"/>
          <w:numId w:val="1"/>
        </w:numPr>
        <w:spacing w:line="300"/>
      </w:pPr>
      <w:r>
        <w:rPr>
          <w:b/>
          <w:bCs/>
        </w:rPr>
        <w:t xml:space="preserve">FSO (Fire Safety Officer):</w:t>
      </w:r>
      <w:r>
        <w:t xml:space="preserve"> The person formally nominated in writing by the establishment manager to be responsible for fire safety. Must hold minimum Level 2 fire safety qualification renewed every 3 years.</w:t>
      </w:r>
    </w:p>
    <w:p>
      <w:pPr>
        <w:pStyle w:val="ListParagraph"/>
        <w:numPr>
          <w:ilvl w:val="0"/>
          <w:numId w:val="1"/>
        </w:numPr>
        <w:spacing w:line="300"/>
      </w:pPr>
      <w:r>
        <w:rPr>
          <w:b/>
          <w:bCs/>
        </w:rPr>
        <w:t xml:space="preserve">FSMS (Fire Safety Management System):</w:t>
      </w:r>
      <w:r>
        <w:t xml:space="preserve"> The sub-system that receives commands from the FDP and controls safety actuators — automatic fire door closure, smoke vent opening, smoke extraction fan start. Standard: NF S 61-937.</w:t>
      </w:r>
    </w:p>
    <w:p>
      <w:pPr>
        <w:pStyle w:val="ListParagraph"/>
        <w:numPr>
          <w:ilvl w:val="0"/>
          <w:numId w:val="1"/>
        </w:numPr>
        <w:spacing w:line="300"/>
      </w:pPr>
      <w:r>
        <w:rPr>
          <w:b/>
          <w:bCs/>
        </w:rPr>
        <w:t xml:space="preserve">HTA (Haute Tension A / Medium Voltage):</w:t>
      </w:r>
      <w:r>
        <w:t xml:space="preserve"> Medium voltage electrical supply — in Senegal typically 20 kV SENELEC distribution network. Requires REI 120 enclosure, separate access, CO² extinguisher and specific electrical safety procedures.</w:t>
      </w:r>
    </w:p>
    <w:p>
      <w:pPr>
        <w:pStyle w:val="ListParagraph"/>
        <w:numPr>
          <w:ilvl w:val="0"/>
          <w:numId w:val="1"/>
        </w:numPr>
        <w:spacing w:line="300"/>
      </w:pPr>
      <w:r>
        <w:rPr>
          <w:b/>
          <w:bCs/>
        </w:rPr>
        <w:t xml:space="preserve">ISO 7010:</w:t>
      </w:r>
      <w:r>
        <w:t xml:space="preserve"> International standard for graphical safety symbols on hazard and safety signs. Provides a library of registered symbols identified by reference number (E, F, P, W, M categories). Current version: ISO 7010:2019/Amd 8:2024.</w:t>
      </w:r>
    </w:p>
    <w:p>
      <w:pPr>
        <w:pStyle w:val="ListParagraph"/>
        <w:numPr>
          <w:ilvl w:val="0"/>
          <w:numId w:val="1"/>
        </w:numPr>
        <w:spacing w:line="300"/>
      </w:pPr>
      <w:r>
        <w:rPr>
          <w:b/>
          <w:bCs/>
        </w:rPr>
        <w:t xml:space="preserve">MCP (Manual Call Point):</w:t>
      </w:r>
      <w:r>
        <w:t xml:space="preserve"> Break-glass device that manually triggers the fire alarm when operated. Identified by ISO 7010 pictogram F005 — red square. Maximum travel distance to nearest MCP: 30 m from any point in the building.</w:t>
      </w:r>
    </w:p>
    <w:p>
      <w:pPr>
        <w:pStyle w:val="ListParagraph"/>
        <w:numPr>
          <w:ilvl w:val="0"/>
          <w:numId w:val="1"/>
        </w:numPr>
        <w:spacing w:line="300"/>
      </w:pPr>
      <w:r>
        <w:rPr>
          <w:b/>
          <w:bCs/>
        </w:rPr>
        <w:t xml:space="preserve">NSHEV (Natural Smoke and Heat Exhaust Ventilator):</w:t>
      </w:r>
      <w:r>
        <w:t xml:space="preserve"> Roof-mounted vent that opens automatically on fire alarm to allow hot smoke and gases to escape by natural buoyancy. Also known as smoke vent or exutoire de toiture. Standard: NF EN 12101-2.</w:t>
      </w:r>
    </w:p>
    <w:p>
      <w:pPr>
        <w:pStyle w:val="ListParagraph"/>
        <w:numPr>
          <w:ilvl w:val="0"/>
          <w:numId w:val="1"/>
        </w:numPr>
        <w:spacing w:line="300"/>
      </w:pPr>
      <w:r>
        <w:rPr>
          <w:b/>
          <w:bCs/>
        </w:rPr>
        <w:t xml:space="preserve">REI:</w:t>
      </w:r>
      <w:r>
        <w:t xml:space="preserve"> See EI above — REI adds load-bearing capacity (R) to the fire resistance classification.</w:t>
      </w:r>
    </w:p>
    <w:p>
      <w:pPr>
        <w:pStyle w:val="ListParagraph"/>
        <w:numPr>
          <w:ilvl w:val="0"/>
          <w:numId w:val="1"/>
        </w:numPr>
        <w:spacing w:line="300"/>
      </w:pPr>
      <w:r>
        <w:rPr>
          <w:b/>
          <w:bCs/>
        </w:rPr>
        <w:t xml:space="preserve">UP (Unité de Passage / Unit of Passage):</w:t>
      </w:r>
      <w:r>
        <w:t xml:space="preserve"> Standard unit for calculating escape route width — 1 UP = 0.60 m of clear unobstructed width. Minimum 2 UP (1.20 m) required for any escape route serving more than 1 person.</w:t>
      </w:r>
    </w:p>
    <w:p/>
    <w:p>
      <w:pPr>
        <w:pBdr>
          <w:bottom w:val="single" w:color="E5E1D8" w:sz="6" w:space="1"/>
        </w:pBdr>
        <w:spacing w:after="120" w:before="120"/>
      </w:pPr>
      <w:r>
        <w:t xml:space="preserve"/>
      </w:r>
    </w:p>
    <w:p/>
    <w:p>
      <w:pPr>
        <w:spacing w:after="120" w:line="320"/>
        <w:jc w:val="both"/>
      </w:pPr>
      <w:r>
        <w:t xml:space="preserve">&gt; ⚠️ </w:t>
      </w:r>
      <w:r>
        <w:rPr>
          <w:b/>
          <w:bCs/>
        </w:rPr>
        <w:t xml:space="preserve">Liability Notice</w:t>
      </w:r>
      <w:r>
        <w:t xml:space="preserve"> &gt; This Fire Safety Notice is a reference document prepared on the basis of Senegalese regulatory texts and international standards in force as of 17 August 2026. It must be reviewed and formally validated by a </w:t>
      </w:r>
      <w:r>
        <w:rPr>
          <w:b/>
          <w:bCs/>
        </w:rPr>
        <w:t xml:space="preserve">fire safety engineer approved by the Senegalese Ministry of the Interior</w:t>
      </w:r>
      <w:r>
        <w:t xml:space="preserve"> before any works are commenced or the establishment is opened to staff or the public. Diagrams and plans are indicative and must be confirmed by a physical site survey. NEXIA — ORION-TEK. This document does not constitute a certified regulatory approval.</w:t>
      </w:r>
    </w:p>
    <w:sectPr>
      <w:headerReference w:type="default" r:id="rId7"/>
      <w:headerReference w:type="first" r:id="rId8"/>
      <w:footerReference w:type="default" r:id="rId9"/>
      <w:footerReference w:type="first" r:id="rId10"/>
      <w:pgSz w:w="11906" w:h="16838" w:orient="portrait"/>
      <w:pgMar w:top="1440" w:right="1440" w:bottom="1440" w:left="1440"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F0A020" w:sz="6" w:space="4"/>
      </w:pBdr>
      <w:tabs>
        <w:tab w:val="right" w:pos="9072"/>
      </w:tabs>
      <w:spacing w:after="0" w:before="0"/>
    </w:pPr>
    <w:r>
      <w:rPr>
        <w:color w:val="6B7280"/>
        <w:sz w:val="16"/>
        <w:szCs w:val="16"/>
      </w:rPr>
      <w:t xml:space="preserve">FIRE-SAFETY-NOTICE-PREMIUM-20260817-A</w:t>
    </w:r>
    <w:r>
      <w:rPr>
        <w:sz w:val="16"/>
        <w:szCs w:val="16"/>
      </w:rPr>
      <w:t xml:space="preserve">	</w:t>
    </w:r>
    <w:r>
      <w:rPr>
        <w:color w:val="9CA3AF"/>
        <w:sz w:val="16"/>
        <w:szCs w:val="16"/>
      </w:rPr>
      <w:t xml:space="preserve">Page </w:t>
    </w:r>
    <w:r>
      <w:rPr>
        <w:b/>
        <w:bCs/>
        <w:color w:val="1A1F2E"/>
        <w:sz w:val="16"/>
        <w:szCs w:val="16"/>
      </w:rPr>
      <w:fldChar w:fldCharType="begin"/>
      <w:instrText xml:space="preserve">PAGE</w:instrText>
      <w:fldChar w:fldCharType="separate"/>
      <w:fldChar w:fldCharType="end"/>
    </w:r>
    <w:r>
      <w:rPr>
        <w:color w:val="9CA3AF"/>
        <w:sz w:val="16"/>
        <w:szCs w:val="16"/>
      </w:rPr>
      <w:t xml:space="preserve"> / </w:t>
    </w:r>
    <w:r>
      <w:rPr>
        <w:b/>
        <w:bCs/>
        <w:color w:val="1A1F2E"/>
        <w:sz w:val="16"/>
        <w:szCs w:val="16"/>
      </w:rPr>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i/>
        <w:iCs/>
        <w:color w:val="9CA3AF"/>
        <w:sz w:val="18"/>
        <w:szCs w:val="18"/>
      </w:rPr>
      <w:t xml:space="preserve">Fire Safety Notice — Premium Door Workshop — Ngoundiane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after="180" w:before="360"/>
    </w:pPr>
    <w:rPr>
      <w:rFonts w:ascii="Calibri" w:cs="Calibri" w:eastAsia="Calibri" w:hAnsi="Calibri"/>
      <w:b/>
      <w:bCs/>
      <w:color w:val="1A1F2E"/>
      <w:sz w:val="36"/>
      <w:szCs w:val="36"/>
    </w:rPr>
  </w:style>
  <w:style w:type="paragraph" w:styleId="Heading2">
    <w:name w:val="Heading 2"/>
    <w:basedOn w:val="Normal"/>
    <w:next w:val="Normal"/>
    <w:qFormat/>
    <w:pPr>
      <w:spacing w:after="140" w:before="280"/>
    </w:pPr>
    <w:rPr>
      <w:rFonts w:ascii="Calibri" w:cs="Calibri" w:eastAsia="Calibri" w:hAnsi="Calibri"/>
      <w:b/>
      <w:bCs/>
      <w:color w:val="1A1F2E"/>
      <w:sz w:val="28"/>
      <w:szCs w:val="28"/>
    </w:rPr>
  </w:style>
  <w:style w:type="paragraph" w:styleId="Heading3">
    <w:name w:val="Heading 3"/>
    <w:basedOn w:val="Normal"/>
    <w:next w:val="Normal"/>
    <w:qFormat/>
    <w:pPr>
      <w:spacing w:after="100" w:before="220"/>
    </w:pPr>
    <w:rPr>
      <w:rFonts w:ascii="Calibri" w:cs="Calibri" w:eastAsia="Calibri" w:hAnsi="Calibri"/>
      <w:b/>
      <w:bCs/>
      <w:color w:val="2C3344"/>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image" Target="media/be41432e90a4db89028d012ac608c46ce051d5a2.png"/><Relationship Id="rId12" Type="http://schemas.openxmlformats.org/officeDocument/2006/relationships/image" Target="media/4f53a1f6e4bb1c3f0eaa5e658938fee7dd5b1f59.png"/><Relationship Id="rId13" Type="http://schemas.openxmlformats.org/officeDocument/2006/relationships/image" Target="media/f69b8a02ed32ba4f32a6780e16360ac170d13b82.png"/><Relationship Id="rId14" Type="http://schemas.openxmlformats.org/officeDocument/2006/relationships/image" Target="media/fbfe691de31a198d9c6e2303c2dd9d686174ee7c.png"/><Relationship Id="rId15" Type="http://schemas.openxmlformats.org/officeDocument/2006/relationships/image" Target="media/85f5f48b4e626d209f860058518ee2a642b77fb2.png"/><Relationship Id="rId16"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Fire Safety Notice — Premium Door Workshop — Ngoundiane</dc:title>
  <dc:creator>Fire Safety Notice — Premium Door Workshop — Ngoundiane</dc:creator>
  <dc:description>Fire Safety Notice — Premium Door Workshop — Ngoundiane</dc:description>
  <cp:lastModifiedBy>Un-named</cp:lastModifiedBy>
  <cp:revision>1</cp:revision>
  <dcterms:created xsi:type="dcterms:W3CDTF">2026-08-17T19:55:11.345Z</dcterms:created>
  <dcterms:modified xsi:type="dcterms:W3CDTF">2026-08-17T19:55:11.345Z</dcterms:modified>
</cp:coreProperties>
</file>

<file path=docProps/custom.xml><?xml version="1.0" encoding="utf-8"?>
<Properties xmlns="http://schemas.openxmlformats.org/officeDocument/2006/custom-properties" xmlns:vt="http://schemas.openxmlformats.org/officeDocument/2006/docPropsVTypes"/>
</file>